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3" w:type="dxa"/>
        <w:tblLayout w:type="fixed"/>
        <w:tblCellMar>
          <w:top w:w="120" w:type="dxa"/>
          <w:left w:w="70" w:type="dxa"/>
          <w:bottom w:w="120" w:type="dxa"/>
          <w:right w:w="70" w:type="dxa"/>
        </w:tblCellMar>
        <w:tblLook w:val="0000" w:firstRow="0" w:lastRow="0" w:firstColumn="0" w:lastColumn="0" w:noHBand="0" w:noVBand="0"/>
      </w:tblPr>
      <w:tblGrid>
        <w:gridCol w:w="2091"/>
        <w:gridCol w:w="7282"/>
      </w:tblGrid>
      <w:tr w:rsidR="00C67550" w:rsidRPr="00D55746" w14:paraId="6DEF4617" w14:textId="77777777" w:rsidTr="00ED0F3A">
        <w:trPr>
          <w:cantSplit/>
        </w:trPr>
        <w:tc>
          <w:tcPr>
            <w:tcW w:w="2091" w:type="dxa"/>
            <w:shd w:val="clear" w:color="auto" w:fill="CCCCCC"/>
          </w:tcPr>
          <w:p w14:paraId="212DF6F8" w14:textId="1385BE79" w:rsidR="00C67550" w:rsidRPr="00D55746" w:rsidRDefault="00C67550" w:rsidP="00534D81">
            <w:pPr>
              <w:pStyle w:val="berschrift1"/>
            </w:pPr>
            <w:bookmarkStart w:id="0" w:name="_GoBack"/>
            <w:bookmarkEnd w:id="0"/>
            <w:r w:rsidRPr="00D55746">
              <w:t xml:space="preserve">Teil </w:t>
            </w:r>
            <w:r w:rsidR="00534D81">
              <w:t>B</w:t>
            </w:r>
          </w:p>
        </w:tc>
        <w:tc>
          <w:tcPr>
            <w:tcW w:w="7282" w:type="dxa"/>
            <w:shd w:val="clear" w:color="auto" w:fill="CCCCCC"/>
          </w:tcPr>
          <w:p w14:paraId="7B685E1C" w14:textId="03F269E3" w:rsidR="00C67550" w:rsidRPr="00D55746" w:rsidRDefault="00ED0F3A" w:rsidP="00847C92">
            <w:pPr>
              <w:pStyle w:val="berschrift1"/>
            </w:pPr>
            <w:r w:rsidRPr="00ED0F3A">
              <w:t>Langtexte und Erläuterungen zu Teil A</w:t>
            </w:r>
            <w:r w:rsidR="0064347B">
              <w:t xml:space="preserve"> </w:t>
            </w:r>
          </w:p>
        </w:tc>
      </w:tr>
    </w:tbl>
    <w:p w14:paraId="098F8923" w14:textId="77777777" w:rsidR="00915405" w:rsidRDefault="00915405" w:rsidP="0094369B"/>
    <w:tbl>
      <w:tblPr>
        <w:tblW w:w="9370" w:type="dxa"/>
        <w:tblLayout w:type="fixed"/>
        <w:tblCellMar>
          <w:top w:w="120" w:type="dxa"/>
          <w:left w:w="70" w:type="dxa"/>
          <w:bottom w:w="120" w:type="dxa"/>
          <w:right w:w="70" w:type="dxa"/>
        </w:tblCellMar>
        <w:tblLook w:val="0000" w:firstRow="0" w:lastRow="0" w:firstColumn="0" w:lastColumn="0" w:noHBand="0" w:noVBand="0"/>
      </w:tblPr>
      <w:tblGrid>
        <w:gridCol w:w="2055"/>
        <w:gridCol w:w="7315"/>
      </w:tblGrid>
      <w:tr w:rsidR="00C67550" w:rsidRPr="00D55746" w14:paraId="03623F1C" w14:textId="77777777" w:rsidTr="0089554D">
        <w:trPr>
          <w:tblHeader/>
        </w:trPr>
        <w:tc>
          <w:tcPr>
            <w:tcW w:w="2055" w:type="dxa"/>
            <w:shd w:val="clear" w:color="auto" w:fill="F3F3F3"/>
          </w:tcPr>
          <w:p w14:paraId="628CA847" w14:textId="77777777" w:rsidR="00C67550" w:rsidRPr="00D55746" w:rsidRDefault="00C67550" w:rsidP="0094369B">
            <w:pPr>
              <w:pStyle w:val="Tabellenkopf"/>
            </w:pPr>
            <w:r w:rsidRPr="00D55746">
              <w:t>Pos.</w:t>
            </w:r>
          </w:p>
        </w:tc>
        <w:tc>
          <w:tcPr>
            <w:tcW w:w="7315" w:type="dxa"/>
            <w:shd w:val="clear" w:color="auto" w:fill="F3F3F3"/>
          </w:tcPr>
          <w:p w14:paraId="49209E35" w14:textId="77777777" w:rsidR="00C67550" w:rsidRPr="00D55746" w:rsidRDefault="00C67550" w:rsidP="0094369B">
            <w:pPr>
              <w:pStyle w:val="Tabellenkopf"/>
            </w:pPr>
            <w:r w:rsidRPr="00D55746">
              <w:t>Langtext und Erläuterung</w:t>
            </w:r>
          </w:p>
        </w:tc>
      </w:tr>
      <w:tr w:rsidR="00C67550" w:rsidRPr="00D55746" w14:paraId="1CF986FD" w14:textId="77777777" w:rsidTr="0089554D">
        <w:trPr>
          <w:cantSplit/>
        </w:trPr>
        <w:tc>
          <w:tcPr>
            <w:tcW w:w="2055" w:type="dxa"/>
          </w:tcPr>
          <w:p w14:paraId="6B1BBF34" w14:textId="77777777" w:rsidR="00C67550" w:rsidRPr="00D55746" w:rsidRDefault="00C67550" w:rsidP="00BA703E">
            <w:pPr>
              <w:pStyle w:val="berschrift1"/>
              <w:keepNext w:val="0"/>
            </w:pPr>
            <w:r w:rsidRPr="00D55746">
              <w:t>1.</w:t>
            </w:r>
          </w:p>
        </w:tc>
        <w:tc>
          <w:tcPr>
            <w:tcW w:w="7315" w:type="dxa"/>
          </w:tcPr>
          <w:p w14:paraId="790401FD" w14:textId="77777777" w:rsidR="00C67550" w:rsidRDefault="00C67550" w:rsidP="0094369B">
            <w:pPr>
              <w:pStyle w:val="berschrift1"/>
            </w:pPr>
            <w:r w:rsidRPr="00D55746">
              <w:t>Grundlagen</w:t>
            </w:r>
          </w:p>
          <w:p w14:paraId="22832A46" w14:textId="321BE3AC" w:rsidR="00817BFB" w:rsidRPr="00817BFB" w:rsidRDefault="00817BFB" w:rsidP="00817BFB">
            <w:r>
              <w:t xml:space="preserve">Unter der Position Grundlagen sind Leistungen aufgeführt, die zur Schaffung einheitlicher Grundlagen für die Gebäudebestandsvermessung erforderlich sind. Die </w:t>
            </w:r>
            <w:r w:rsidR="00B51914">
              <w:t>Aufwände werden in aller Regel pauschal angerechnet.</w:t>
            </w:r>
          </w:p>
        </w:tc>
      </w:tr>
      <w:tr w:rsidR="00C67550" w:rsidRPr="00D55746" w14:paraId="2286D1A4" w14:textId="77777777" w:rsidTr="0089554D">
        <w:trPr>
          <w:cantSplit/>
        </w:trPr>
        <w:tc>
          <w:tcPr>
            <w:tcW w:w="2055" w:type="dxa"/>
          </w:tcPr>
          <w:p w14:paraId="2BBC5D4C" w14:textId="77777777" w:rsidR="0089554D" w:rsidRDefault="00C67550" w:rsidP="0094369B">
            <w:pPr>
              <w:pStyle w:val="berschrift2"/>
            </w:pPr>
            <w:r w:rsidRPr="003D08A0">
              <w:t>1.1</w:t>
            </w:r>
          </w:p>
          <w:p w14:paraId="00B7081E" w14:textId="46F8DC80" w:rsidR="00C67550" w:rsidRPr="00534D81" w:rsidRDefault="00C67550"/>
        </w:tc>
        <w:tc>
          <w:tcPr>
            <w:tcW w:w="7315" w:type="dxa"/>
          </w:tcPr>
          <w:p w14:paraId="2697ECFF" w14:textId="77777777" w:rsidR="00C67550" w:rsidRPr="00D55746" w:rsidRDefault="00C67550" w:rsidP="0094369B">
            <w:pPr>
              <w:pStyle w:val="berschrift2"/>
            </w:pPr>
            <w:r w:rsidRPr="00D55746">
              <w:t>Grundlagenermittlung</w:t>
            </w:r>
          </w:p>
          <w:p w14:paraId="2D6BC0B7" w14:textId="77777777" w:rsidR="00E50066" w:rsidRDefault="00E50066" w:rsidP="0094369B">
            <w:pPr>
              <w:pStyle w:val="Textkrpereinzug"/>
            </w:pPr>
            <w:r>
              <w:t>Klären der Aufgabenstellung</w:t>
            </w:r>
          </w:p>
          <w:p w14:paraId="19CCEA4D" w14:textId="77777777" w:rsidR="00C67550" w:rsidRDefault="00C67550" w:rsidP="0094369B">
            <w:pPr>
              <w:pStyle w:val="Textkrpereinzug"/>
            </w:pPr>
            <w:r w:rsidRPr="004D2B9F">
              <w:t>Einholen von Informationen und Beschaffen von Unterlagen über</w:t>
            </w:r>
            <w:r>
              <w:t xml:space="preserve"> die Örtlichkeit / Liegenschaft</w:t>
            </w:r>
          </w:p>
          <w:p w14:paraId="654539D4" w14:textId="5502DAE1" w:rsidR="00C67550" w:rsidRPr="003D08A0" w:rsidRDefault="00C67550" w:rsidP="0094369B">
            <w:pPr>
              <w:pStyle w:val="Textkrpereinzug"/>
            </w:pPr>
            <w:r w:rsidRPr="003D08A0">
              <w:t>Ortsbesichtigung</w:t>
            </w:r>
            <w:r w:rsidR="00B51914">
              <w:t xml:space="preserve"> (Erkundung und in Augenscheinnahme des/der Messobjekte/s) und Besprechungen / Abstimmungen mit dem AG vor Ort</w:t>
            </w:r>
          </w:p>
          <w:p w14:paraId="2BC85A26" w14:textId="046181C9" w:rsidR="00C67550" w:rsidRPr="003D08A0" w:rsidRDefault="00CE45BC" w:rsidP="0094369B">
            <w:pPr>
              <w:pStyle w:val="Textkrpereinzug"/>
            </w:pPr>
            <w:r w:rsidRPr="003D08A0">
              <w:t xml:space="preserve">Sichtung, </w:t>
            </w:r>
            <w:r w:rsidR="00C67550" w:rsidRPr="003D08A0">
              <w:t>Bewertung</w:t>
            </w:r>
            <w:r w:rsidRPr="003D08A0">
              <w:t xml:space="preserve"> und Erhebung</w:t>
            </w:r>
            <w:r w:rsidR="00C67550" w:rsidRPr="003D08A0">
              <w:t xml:space="preserve"> von </w:t>
            </w:r>
            <w:r w:rsidR="00B51914">
              <w:t>bereitgestellten</w:t>
            </w:r>
            <w:r w:rsidR="00C67550" w:rsidRPr="003D08A0">
              <w:t xml:space="preserve"> Bestandsunterlagen </w:t>
            </w:r>
            <w:r w:rsidR="00F71726">
              <w:t>durch den AG</w:t>
            </w:r>
            <w:r w:rsidR="00AD4114">
              <w:t xml:space="preserve">, </w:t>
            </w:r>
            <w:r w:rsidR="00C67550" w:rsidRPr="003D08A0">
              <w:t xml:space="preserve">der zuständigen Leitstelle </w:t>
            </w:r>
            <w:r w:rsidR="0013347B" w:rsidRPr="003D08A0">
              <w:t>LISA</w:t>
            </w:r>
            <w:r w:rsidR="0013347B">
              <w:t>/</w:t>
            </w:r>
            <w:r w:rsidR="00C67550" w:rsidRPr="003D08A0">
              <w:t>V</w:t>
            </w:r>
            <w:r w:rsidR="00DD4277" w:rsidRPr="003D08A0">
              <w:t>ermessung</w:t>
            </w:r>
            <w:r w:rsidR="00A07FA3">
              <w:rPr>
                <w:rStyle w:val="Funotenzeichen"/>
              </w:rPr>
              <w:footnoteReference w:id="1"/>
            </w:r>
            <w:r w:rsidR="00DD4277" w:rsidRPr="003D08A0">
              <w:t xml:space="preserve"> sowie der zuständigen Vermessungsverwaltung</w:t>
            </w:r>
            <w:r w:rsidR="00C67550" w:rsidRPr="003D08A0">
              <w:t xml:space="preserve"> inkl. </w:t>
            </w:r>
            <w:r w:rsidR="00DD4277" w:rsidRPr="003D08A0">
              <w:t xml:space="preserve">der verfügbaren amtlichen </w:t>
            </w:r>
            <w:r w:rsidR="00C67550" w:rsidRPr="003D08A0">
              <w:t>Anschlusspunkte (Lage und Höhe).</w:t>
            </w:r>
          </w:p>
          <w:p w14:paraId="69A85E70" w14:textId="77777777" w:rsidR="00C67550" w:rsidRDefault="00C67550" w:rsidP="00752A1F">
            <w:pPr>
              <w:pStyle w:val="Textkrpereinzug"/>
            </w:pPr>
            <w:r w:rsidRPr="003D08A0">
              <w:t>Planung und Organisation des Messeinsatzes, Messvorbereitung vor Ort wie z</w:t>
            </w:r>
            <w:r w:rsidR="00752A1F" w:rsidRPr="003D08A0">
              <w:t>.</w:t>
            </w:r>
            <w:r w:rsidR="00752A1F">
              <w:t> </w:t>
            </w:r>
            <w:r w:rsidRPr="003D08A0">
              <w:t>B. Sicherheitseinweisung, Beschaffung von Sonderausweisen</w:t>
            </w:r>
          </w:p>
          <w:p w14:paraId="64848804" w14:textId="77777777" w:rsidR="00A67851" w:rsidRDefault="00A67851" w:rsidP="00752A1F">
            <w:pPr>
              <w:pStyle w:val="Textkrpereinzug"/>
            </w:pPr>
            <w:r>
              <w:t>Testdatenaustausch</w:t>
            </w:r>
          </w:p>
          <w:p w14:paraId="40373F5E" w14:textId="2B53D91C" w:rsidR="00220D3E" w:rsidRPr="004D2B9F" w:rsidRDefault="00220D3E" w:rsidP="00752A1F">
            <w:pPr>
              <w:pStyle w:val="Textkrpereinzug"/>
            </w:pPr>
            <w:r>
              <w:t>Der geschätzte Leistungsumfang zur Grundlagenermittlung ist anzugeben.</w:t>
            </w:r>
          </w:p>
        </w:tc>
      </w:tr>
      <w:tr w:rsidR="00C67550" w:rsidRPr="00D55746" w14:paraId="2E1B359C" w14:textId="77777777" w:rsidTr="0089554D">
        <w:trPr>
          <w:cantSplit/>
        </w:trPr>
        <w:tc>
          <w:tcPr>
            <w:tcW w:w="2055" w:type="dxa"/>
          </w:tcPr>
          <w:p w14:paraId="6B690DF4" w14:textId="5CCDB4AC" w:rsidR="00C67550" w:rsidRPr="00847C92" w:rsidRDefault="00C67550" w:rsidP="00534D81">
            <w:pPr>
              <w:rPr>
                <w:b/>
              </w:rPr>
            </w:pPr>
            <w:r w:rsidRPr="00847C92">
              <w:rPr>
                <w:b/>
              </w:rPr>
              <w:t>1.2</w:t>
            </w:r>
          </w:p>
        </w:tc>
        <w:tc>
          <w:tcPr>
            <w:tcW w:w="7315" w:type="dxa"/>
          </w:tcPr>
          <w:p w14:paraId="16448C7D" w14:textId="3189728C" w:rsidR="00C67550" w:rsidRDefault="00DD4277" w:rsidP="0094369B">
            <w:pPr>
              <w:pStyle w:val="berschrift2"/>
            </w:pPr>
            <w:r>
              <w:t xml:space="preserve">Auszüge </w:t>
            </w:r>
            <w:r w:rsidR="00C67550" w:rsidRPr="001854C9">
              <w:t>aus amtlichen Nachweisen</w:t>
            </w:r>
          </w:p>
          <w:p w14:paraId="5ECE5EE4" w14:textId="527AF7DA" w:rsidR="00DD4277" w:rsidRPr="00DD4277" w:rsidRDefault="00DD4277" w:rsidP="0094369B">
            <w:pPr>
              <w:pStyle w:val="Textkrper"/>
            </w:pPr>
            <w:r>
              <w:t>In Absprache mit dem AG</w:t>
            </w:r>
            <w:r w:rsidR="00FB6F55">
              <w:t xml:space="preserve"> sind Auszüge aus den aktuellen </w:t>
            </w:r>
            <w:r w:rsidR="000807BB">
              <w:t xml:space="preserve">amtlichen </w:t>
            </w:r>
            <w:r w:rsidR="00FB6F55">
              <w:t>N</w:t>
            </w:r>
            <w:r w:rsidR="000807BB">
              <w:t>a</w:t>
            </w:r>
            <w:r w:rsidR="00FB6F55">
              <w:t>chweisen</w:t>
            </w:r>
            <w:r w:rsidR="000807BB">
              <w:t xml:space="preserve"> der Vermessungsverwaltung zu beschaffen</w:t>
            </w:r>
            <w:r w:rsidR="001428D1">
              <w:t xml:space="preserve">. </w:t>
            </w:r>
            <w:r w:rsidR="001428D1" w:rsidRPr="00CE45BC">
              <w:t>Die entstehenden Kosten werden dem AN gegen Nachweis erstattet. Dem Gebührenbescheid sind alle bestellten Unterlagen</w:t>
            </w:r>
            <w:r w:rsidR="001428D1">
              <w:t>, sofern vorhanden</w:t>
            </w:r>
            <w:r w:rsidR="000807BB">
              <w:t>,</w:t>
            </w:r>
            <w:r w:rsidR="001428D1">
              <w:t xml:space="preserve"> auch in digitaler Form, </w:t>
            </w:r>
            <w:r w:rsidR="001428D1" w:rsidRPr="00CE45BC">
              <w:t>beizufügen.</w:t>
            </w:r>
            <w:r w:rsidR="00073D33">
              <w:t xml:space="preserve"> Das Datenformat für die digitalen </w:t>
            </w:r>
            <w:r w:rsidR="00AD4114">
              <w:t xml:space="preserve">amtlichen </w:t>
            </w:r>
            <w:r w:rsidR="00073D33">
              <w:t>Nachweise ist mit dem AG abzustimmen.</w:t>
            </w:r>
          </w:p>
        </w:tc>
      </w:tr>
      <w:tr w:rsidR="00C67550" w:rsidRPr="00D55746" w14:paraId="0681668C" w14:textId="77777777" w:rsidTr="0089554D">
        <w:trPr>
          <w:cantSplit/>
        </w:trPr>
        <w:tc>
          <w:tcPr>
            <w:tcW w:w="2055" w:type="dxa"/>
          </w:tcPr>
          <w:p w14:paraId="653E0AAA" w14:textId="2A00458B" w:rsidR="00C67550" w:rsidRPr="00847C92" w:rsidRDefault="00C67550" w:rsidP="005E48C0">
            <w:pPr>
              <w:pStyle w:val="berschrift3"/>
            </w:pPr>
            <w:r w:rsidRPr="00847C92">
              <w:t>1.2.1</w:t>
            </w:r>
          </w:p>
        </w:tc>
        <w:tc>
          <w:tcPr>
            <w:tcW w:w="7315" w:type="dxa"/>
          </w:tcPr>
          <w:p w14:paraId="43C1EBDC" w14:textId="5AC06010" w:rsidR="00C67550" w:rsidRDefault="00C67550" w:rsidP="005E48C0">
            <w:pPr>
              <w:pStyle w:val="berschrift3"/>
            </w:pPr>
            <w:r w:rsidRPr="001854C9">
              <w:t>Lage-/Höhenfestpunktfelder</w:t>
            </w:r>
          </w:p>
          <w:p w14:paraId="2866B02D" w14:textId="06AC697F" w:rsidR="00073D33" w:rsidRPr="00073D33" w:rsidRDefault="000807BB" w:rsidP="00073D33">
            <w:r>
              <w:t xml:space="preserve">Soweit erforderlich, sind in </w:t>
            </w:r>
            <w:r w:rsidR="00073D33">
              <w:t>Absprache mit dem AG aktuelle Auszüge aus den Festpunktfeldnachweisen</w:t>
            </w:r>
            <w:r w:rsidR="00C94787">
              <w:t xml:space="preserve"> der Vermessungsverwaltung</w:t>
            </w:r>
            <w:r>
              <w:t>, z.</w:t>
            </w:r>
            <w:r w:rsidRPr="000807BB">
              <w:t> B.</w:t>
            </w:r>
            <w:r w:rsidR="00073D33">
              <w:t xml:space="preserve"> </w:t>
            </w:r>
            <w:r>
              <w:t xml:space="preserve">AFIS, </w:t>
            </w:r>
            <w:r w:rsidR="00073D33">
              <w:t>zu beschaffen.</w:t>
            </w:r>
          </w:p>
        </w:tc>
      </w:tr>
      <w:tr w:rsidR="00C67550" w:rsidRPr="00D55746" w14:paraId="0BC61136" w14:textId="77777777" w:rsidTr="0089554D">
        <w:trPr>
          <w:cantSplit/>
        </w:trPr>
        <w:tc>
          <w:tcPr>
            <w:tcW w:w="2055" w:type="dxa"/>
          </w:tcPr>
          <w:p w14:paraId="0E655C2D" w14:textId="7D8CEFD9" w:rsidR="00C67550" w:rsidRPr="00847C92" w:rsidRDefault="00C67550" w:rsidP="005E48C0">
            <w:pPr>
              <w:pStyle w:val="berschrift3"/>
            </w:pPr>
            <w:r w:rsidRPr="00847C92">
              <w:t>1.2.2</w:t>
            </w:r>
          </w:p>
        </w:tc>
        <w:tc>
          <w:tcPr>
            <w:tcW w:w="7315" w:type="dxa"/>
          </w:tcPr>
          <w:p w14:paraId="356431A8" w14:textId="132DC9B0" w:rsidR="00E50066" w:rsidRDefault="00C67550" w:rsidP="005E48C0">
            <w:pPr>
              <w:pStyle w:val="berschrift3"/>
            </w:pPr>
            <w:r w:rsidRPr="001854C9">
              <w:t>Liegenschaftskataster</w:t>
            </w:r>
            <w:r w:rsidR="00DD4277">
              <w:t xml:space="preserve"> </w:t>
            </w:r>
          </w:p>
          <w:p w14:paraId="5FD1B97E" w14:textId="09AB6CBB" w:rsidR="00A912E9" w:rsidRPr="00A912E9" w:rsidRDefault="00A912E9" w:rsidP="0094369B">
            <w:r>
              <w:t>In Absprache mit dem AG sind, soweit erforderlich, aktuelle Auszüge aus dem Liegenschaftskataster</w:t>
            </w:r>
            <w:r w:rsidR="0094369B">
              <w:t xml:space="preserve"> zu beschaffen. Das Datenformat </w:t>
            </w:r>
            <w:r w:rsidR="000807BB">
              <w:t>und der Umfang der Daten</w:t>
            </w:r>
            <w:r w:rsidR="0094369B">
              <w:t xml:space="preserve"> </w:t>
            </w:r>
            <w:r w:rsidR="000807BB">
              <w:t>sind</w:t>
            </w:r>
            <w:r w:rsidR="0094369B">
              <w:t xml:space="preserve"> mit dem AG gemäß den dv-technischen Rahmenbedingungen </w:t>
            </w:r>
            <w:r w:rsidR="000807BB">
              <w:t xml:space="preserve">und dem Anwendungszweck </w:t>
            </w:r>
            <w:r w:rsidR="0094369B">
              <w:t>abzustimmen.</w:t>
            </w:r>
          </w:p>
        </w:tc>
      </w:tr>
      <w:tr w:rsidR="00BC674C" w:rsidRPr="00D55746" w14:paraId="1CDEB1D1" w14:textId="77777777" w:rsidTr="0089554D">
        <w:trPr>
          <w:cantSplit/>
        </w:trPr>
        <w:tc>
          <w:tcPr>
            <w:tcW w:w="2055" w:type="dxa"/>
          </w:tcPr>
          <w:p w14:paraId="2729FD92" w14:textId="251EA56C" w:rsidR="00BC674C" w:rsidRPr="00847C92" w:rsidRDefault="00BC674C" w:rsidP="005E48C0">
            <w:pPr>
              <w:pStyle w:val="berschrift3"/>
            </w:pPr>
            <w:r>
              <w:lastRenderedPageBreak/>
              <w:t>1.2.</w:t>
            </w:r>
            <w:r w:rsidR="00A26753">
              <w:t>3</w:t>
            </w:r>
          </w:p>
        </w:tc>
        <w:tc>
          <w:tcPr>
            <w:tcW w:w="7315" w:type="dxa"/>
          </w:tcPr>
          <w:p w14:paraId="6FD887F1" w14:textId="77777777" w:rsidR="00BC674C" w:rsidRDefault="00BC674C" w:rsidP="005E48C0">
            <w:pPr>
              <w:pStyle w:val="berschrift3"/>
            </w:pPr>
            <w:r>
              <w:t>Sonstige amtliche Nachweise</w:t>
            </w:r>
          </w:p>
          <w:p w14:paraId="10F18742" w14:textId="33A7A378" w:rsidR="00BC674C" w:rsidRPr="003F4EF5" w:rsidRDefault="003F4EF5" w:rsidP="00BC674C">
            <w:pPr>
              <w:rPr>
                <w:rFonts w:ascii="Ebrima" w:hAnsi="Ebrima"/>
              </w:rPr>
            </w:pPr>
            <w:r>
              <w:t xml:space="preserve">Projektbezogene Beschaffung </w:t>
            </w:r>
            <w:r w:rsidR="00B51914">
              <w:t xml:space="preserve">von </w:t>
            </w:r>
            <w:r>
              <w:t>Nachweise</w:t>
            </w:r>
            <w:r w:rsidR="00B51914">
              <w:t>n</w:t>
            </w:r>
            <w:r>
              <w:t xml:space="preserve"> über amtliche Festlegungen, z.</w:t>
            </w:r>
            <w:r>
              <w:rPr>
                <w:rFonts w:ascii="Times New Roman" w:hAnsi="Times New Roman" w:cs="Times New Roman"/>
              </w:rPr>
              <w:t> </w:t>
            </w:r>
            <w:r w:rsidRPr="003F4EF5">
              <w:t>B</w:t>
            </w:r>
            <w:r>
              <w:t>. Schutzgebiete, Flächennutzungs- und Bebauungspläne</w:t>
            </w:r>
          </w:p>
        </w:tc>
      </w:tr>
      <w:tr w:rsidR="003F4EF5" w:rsidRPr="00D55746" w14:paraId="5F0A503E" w14:textId="77777777" w:rsidTr="0089554D">
        <w:trPr>
          <w:cantSplit/>
        </w:trPr>
        <w:tc>
          <w:tcPr>
            <w:tcW w:w="2055" w:type="dxa"/>
          </w:tcPr>
          <w:p w14:paraId="2D55A1FA" w14:textId="1EA83811" w:rsidR="003F4EF5" w:rsidRDefault="003F4EF5" w:rsidP="005E48C0">
            <w:pPr>
              <w:pStyle w:val="berschrift2"/>
            </w:pPr>
            <w:r>
              <w:t>1.</w:t>
            </w:r>
            <w:r w:rsidR="00A26753">
              <w:t>3</w:t>
            </w:r>
          </w:p>
        </w:tc>
        <w:tc>
          <w:tcPr>
            <w:tcW w:w="7315" w:type="dxa"/>
          </w:tcPr>
          <w:p w14:paraId="23358F5C" w14:textId="77777777" w:rsidR="003F4EF5" w:rsidRDefault="003F4EF5" w:rsidP="0094369B">
            <w:pPr>
              <w:pStyle w:val="berschrift2"/>
            </w:pPr>
            <w:r>
              <w:t>Ermitteln des Leistungsumfang</w:t>
            </w:r>
          </w:p>
          <w:p w14:paraId="4933B096" w14:textId="6993D7E1" w:rsidR="003F4EF5" w:rsidRPr="003F4EF5" w:rsidRDefault="003F4EF5" w:rsidP="003F4EF5">
            <w:r>
              <w:t>Festlegung des Umfangs vermessungstechnischer Leistungen in Abhängigkeit von Genauigkeitsforderungen und Schwierigkeitsgrad</w:t>
            </w:r>
          </w:p>
        </w:tc>
      </w:tr>
      <w:tr w:rsidR="003F4EF5" w:rsidRPr="00D55746" w14:paraId="60DFEEDA" w14:textId="77777777" w:rsidTr="0089554D">
        <w:trPr>
          <w:cantSplit/>
        </w:trPr>
        <w:tc>
          <w:tcPr>
            <w:tcW w:w="2055" w:type="dxa"/>
          </w:tcPr>
          <w:p w14:paraId="5D17309C" w14:textId="40C5D8B3" w:rsidR="003F4EF5" w:rsidRDefault="003F4EF5" w:rsidP="00E21497">
            <w:pPr>
              <w:pStyle w:val="berschrift2"/>
            </w:pPr>
            <w:r>
              <w:t>1.</w:t>
            </w:r>
            <w:r w:rsidR="00A26753">
              <w:t>4</w:t>
            </w:r>
          </w:p>
        </w:tc>
        <w:tc>
          <w:tcPr>
            <w:tcW w:w="7315" w:type="dxa"/>
          </w:tcPr>
          <w:p w14:paraId="0C7E4827" w14:textId="77777777" w:rsidR="003F4EF5" w:rsidRDefault="003F4EF5" w:rsidP="00E21497">
            <w:pPr>
              <w:pStyle w:val="berschrift2"/>
            </w:pPr>
            <w:r w:rsidRPr="00E21497">
              <w:t>Einholung</w:t>
            </w:r>
            <w:r>
              <w:t xml:space="preserve"> von Genehmigungen</w:t>
            </w:r>
          </w:p>
          <w:p w14:paraId="587F4C48" w14:textId="791BBC8A" w:rsidR="005808A4" w:rsidRDefault="005808A4" w:rsidP="005808A4">
            <w:r>
              <w:t xml:space="preserve">Für eine ordnungsgemäße Ausführung von Vermessungsleistungen insbesondere in sicherheitskritischen Bereichen sind </w:t>
            </w:r>
            <w:r w:rsidR="00AD4114">
              <w:t xml:space="preserve">bei Bedarf </w:t>
            </w:r>
            <w:r>
              <w:t xml:space="preserve">mit </w:t>
            </w:r>
            <w:r w:rsidR="00B51914">
              <w:t>Unterstützung durch</w:t>
            </w:r>
            <w:r>
              <w:t xml:space="preserve"> AG </w:t>
            </w:r>
            <w:r w:rsidR="00B51914">
              <w:t>vom</w:t>
            </w:r>
            <w:r>
              <w:t xml:space="preserve"> AN nachfolgende Genehmigungen einzuholen:</w:t>
            </w:r>
          </w:p>
          <w:p w14:paraId="4C211946" w14:textId="135113DC" w:rsidR="005808A4" w:rsidRDefault="005808A4" w:rsidP="00AD4114">
            <w:pPr>
              <w:pStyle w:val="Listenabsatz"/>
              <w:numPr>
                <w:ilvl w:val="0"/>
                <w:numId w:val="28"/>
              </w:numPr>
            </w:pPr>
            <w:r>
              <w:t>Betreten von Grundstücken</w:t>
            </w:r>
            <w:r w:rsidR="00C50419">
              <w:t xml:space="preserve"> (1.4.1)</w:t>
            </w:r>
          </w:p>
          <w:p w14:paraId="2DD4DE8C" w14:textId="1CE4EF17" w:rsidR="005808A4" w:rsidRDefault="005808A4" w:rsidP="00AD4114">
            <w:pPr>
              <w:pStyle w:val="Listenabsatz"/>
              <w:numPr>
                <w:ilvl w:val="0"/>
                <w:numId w:val="28"/>
              </w:numPr>
            </w:pPr>
            <w:r>
              <w:t>Betreten von Bauwerken und Gebäuden</w:t>
            </w:r>
            <w:r w:rsidR="00C50419">
              <w:t xml:space="preserve"> (1.4.2)</w:t>
            </w:r>
          </w:p>
          <w:p w14:paraId="105462BC" w14:textId="7F3FBFF4" w:rsidR="005808A4" w:rsidRDefault="005808A4" w:rsidP="00AD4114">
            <w:pPr>
              <w:pStyle w:val="Listenabsatz"/>
              <w:numPr>
                <w:ilvl w:val="0"/>
                <w:numId w:val="28"/>
              </w:numPr>
            </w:pPr>
            <w:r>
              <w:t>anordnungsbedürftige Verkehrssicherungsmaßnahmen</w:t>
            </w:r>
            <w:r w:rsidR="00C50419">
              <w:t xml:space="preserve"> (1.4.3)</w:t>
            </w:r>
          </w:p>
          <w:p w14:paraId="58F58A1F" w14:textId="575FCC21" w:rsidR="005808A4" w:rsidRDefault="005808A4" w:rsidP="00AD4114">
            <w:pPr>
              <w:pStyle w:val="Listenabsatz"/>
              <w:numPr>
                <w:ilvl w:val="0"/>
                <w:numId w:val="28"/>
              </w:numPr>
            </w:pPr>
            <w:r>
              <w:t>Messgenehmigung für sicherheitskritische Bereiche</w:t>
            </w:r>
            <w:r w:rsidR="00C50419">
              <w:t xml:space="preserve"> (1.4.4)</w:t>
            </w:r>
          </w:p>
          <w:p w14:paraId="3A95F7AE" w14:textId="5D7DF906" w:rsidR="005808A4" w:rsidRDefault="005808A4" w:rsidP="00C50419">
            <w:pPr>
              <w:pStyle w:val="Listenabsatz"/>
              <w:numPr>
                <w:ilvl w:val="0"/>
                <w:numId w:val="28"/>
              </w:numPr>
            </w:pPr>
            <w:r>
              <w:t xml:space="preserve">Fotografieren bzw. Anwendung bildgebender Messverfahren, z. B. Terrestrisches Laserscanning, </w:t>
            </w:r>
            <w:r w:rsidR="007B3B6D">
              <w:t>terrestrische und luftfahrzeuggetragene p</w:t>
            </w:r>
            <w:r>
              <w:t>hotogrammetrische</w:t>
            </w:r>
            <w:r w:rsidR="007B3B6D">
              <w:t xml:space="preserve"> Messverfahren</w:t>
            </w:r>
            <w:r w:rsidR="00C50419">
              <w:t xml:space="preserve"> (1.4.5)</w:t>
            </w:r>
          </w:p>
          <w:p w14:paraId="5DB0C0C3" w14:textId="5011CCD4" w:rsidR="00C50419" w:rsidRPr="005808A4" w:rsidRDefault="00C50419" w:rsidP="00C50419">
            <w:pPr>
              <w:pStyle w:val="Listenabsatz"/>
              <w:numPr>
                <w:ilvl w:val="0"/>
                <w:numId w:val="28"/>
              </w:numPr>
            </w:pPr>
            <w:r>
              <w:t>Sonstige Genehmigung (1.4.6)</w:t>
            </w:r>
          </w:p>
        </w:tc>
      </w:tr>
      <w:tr w:rsidR="00C245EF" w:rsidRPr="00D55746" w14:paraId="7DFF6B41" w14:textId="77777777" w:rsidTr="0089554D">
        <w:trPr>
          <w:cantSplit/>
        </w:trPr>
        <w:tc>
          <w:tcPr>
            <w:tcW w:w="2055" w:type="dxa"/>
          </w:tcPr>
          <w:p w14:paraId="1B803649" w14:textId="191A6F0D" w:rsidR="00C245EF" w:rsidRDefault="00C245EF" w:rsidP="00A26753">
            <w:pPr>
              <w:pStyle w:val="berschrift2"/>
            </w:pPr>
            <w:r>
              <w:t>1.</w:t>
            </w:r>
            <w:r w:rsidR="00A26753">
              <w:t>5</w:t>
            </w:r>
          </w:p>
        </w:tc>
        <w:tc>
          <w:tcPr>
            <w:tcW w:w="7315" w:type="dxa"/>
          </w:tcPr>
          <w:p w14:paraId="064DABFE" w14:textId="6C503EEA" w:rsidR="00C245EF" w:rsidRDefault="00C245EF" w:rsidP="00A26753">
            <w:pPr>
              <w:pStyle w:val="berschrift2"/>
            </w:pPr>
            <w:r>
              <w:t>Festlegung einheitlicher Maß-</w:t>
            </w:r>
            <w:r w:rsidR="00E71804">
              <w:t>,</w:t>
            </w:r>
            <w:r>
              <w:t xml:space="preserve"> Bezugs- und Benennungssysteme</w:t>
            </w:r>
          </w:p>
          <w:p w14:paraId="7F6D6612" w14:textId="77777777" w:rsidR="00C245EF" w:rsidRDefault="00C245EF" w:rsidP="00C245EF">
            <w:r>
              <w:t>Definition einheitlicher Vorgaben für zu verwendender Koordinatenreferenzsysteme (DIN ISO 19111)</w:t>
            </w:r>
            <w:r w:rsidR="002E7F09">
              <w:t xml:space="preserve"> sowie Benennungssystemen für die eindeutige </w:t>
            </w:r>
            <w:r w:rsidR="00A26753">
              <w:t xml:space="preserve">strukturelle </w:t>
            </w:r>
            <w:r w:rsidR="002E7F09">
              <w:t>Zuordnung von vermessungstechnisch erfassten Objekten</w:t>
            </w:r>
            <w:r w:rsidR="00AD4114">
              <w:t xml:space="preserve"> in Abstimmung mit dem AG</w:t>
            </w:r>
            <w:r w:rsidR="00864FF3">
              <w:t xml:space="preserve"> soweit von den Vorgaben der BFR GBestand abgewichen werden soll.</w:t>
            </w:r>
          </w:p>
          <w:p w14:paraId="20AF3E8D" w14:textId="0075836A" w:rsidR="00C50419" w:rsidRPr="00C245EF" w:rsidRDefault="00C50419" w:rsidP="00C50419">
            <w:r>
              <w:t>Der geschätzte Leistungsumfang ist anzugeben</w:t>
            </w:r>
            <w:r w:rsidR="006C18B7">
              <w:t>.</w:t>
            </w:r>
          </w:p>
        </w:tc>
      </w:tr>
      <w:tr w:rsidR="00C55E11" w:rsidRPr="00D55746" w14:paraId="381F10D5" w14:textId="77777777" w:rsidTr="0089554D">
        <w:trPr>
          <w:cantSplit/>
        </w:trPr>
        <w:tc>
          <w:tcPr>
            <w:tcW w:w="2055" w:type="dxa"/>
          </w:tcPr>
          <w:p w14:paraId="0195404D" w14:textId="77777777" w:rsidR="00C55E11" w:rsidRDefault="00C55E11" w:rsidP="00A26753">
            <w:pPr>
              <w:pStyle w:val="berschrift2"/>
            </w:pPr>
          </w:p>
        </w:tc>
        <w:tc>
          <w:tcPr>
            <w:tcW w:w="7315" w:type="dxa"/>
          </w:tcPr>
          <w:p w14:paraId="55D06E29" w14:textId="77777777" w:rsidR="00C55E11" w:rsidRDefault="00C55E11" w:rsidP="00A26753">
            <w:pPr>
              <w:pStyle w:val="berschrift2"/>
            </w:pPr>
          </w:p>
        </w:tc>
      </w:tr>
      <w:tr w:rsidR="00A50C80" w:rsidRPr="00A50C80" w14:paraId="09ABA62D" w14:textId="77777777" w:rsidTr="0089554D">
        <w:trPr>
          <w:cantSplit/>
        </w:trPr>
        <w:tc>
          <w:tcPr>
            <w:tcW w:w="2055" w:type="dxa"/>
          </w:tcPr>
          <w:p w14:paraId="3142446A" w14:textId="1AD59CF0" w:rsidR="00A50C80" w:rsidRPr="00A50C80" w:rsidRDefault="00A50C80" w:rsidP="00C55E11">
            <w:pPr>
              <w:pStyle w:val="berschrift1"/>
              <w:keepNext w:val="0"/>
            </w:pPr>
            <w:r w:rsidRPr="00A50C80">
              <w:t>2</w:t>
            </w:r>
          </w:p>
        </w:tc>
        <w:tc>
          <w:tcPr>
            <w:tcW w:w="7315" w:type="dxa"/>
          </w:tcPr>
          <w:p w14:paraId="2799615F" w14:textId="77777777" w:rsidR="00A50C80" w:rsidRDefault="00A50C80" w:rsidP="00C55E11">
            <w:pPr>
              <w:pStyle w:val="berschrift1"/>
              <w:keepNext w:val="0"/>
            </w:pPr>
            <w:r w:rsidRPr="00A50C80">
              <w:t>Geodätischer Raumbezug</w:t>
            </w:r>
          </w:p>
          <w:p w14:paraId="56475599" w14:textId="07D59C51" w:rsidR="00A26753" w:rsidRPr="00A26753" w:rsidRDefault="00A26753" w:rsidP="00C55E11">
            <w:r>
              <w:t xml:space="preserve">Grundsätzlich sind die Ergebnisse von Gebäudebestandsvermessungen in lokalen, verzerrungsfreien Koordinatenreferenzsystemen abzubilden. Darüber hinaus kann durch den AG für übergreifende Auswertungen zusätzlich der Anschluss der Messungen an Liegenschaftsbezogene Festpunktfelder  gemäß </w:t>
            </w:r>
            <w:r w:rsidR="00D15619">
              <w:t xml:space="preserve">den </w:t>
            </w:r>
            <w:r>
              <w:t>Baufachliche</w:t>
            </w:r>
            <w:r w:rsidR="00D15619">
              <w:t>n</w:t>
            </w:r>
            <w:r>
              <w:t xml:space="preserve"> Richtlinien Vermessung (BFR Verm)</w:t>
            </w:r>
            <w:r w:rsidR="00D15619">
              <w:t xml:space="preserve"> und/oder Festpunkte der Vermessungsverwaltung gefordert werden.</w:t>
            </w:r>
          </w:p>
        </w:tc>
      </w:tr>
      <w:tr w:rsidR="00D15619" w:rsidRPr="00D55746" w14:paraId="1CAEE277" w14:textId="77777777" w:rsidTr="0089554D">
        <w:trPr>
          <w:cantSplit/>
        </w:trPr>
        <w:tc>
          <w:tcPr>
            <w:tcW w:w="2055" w:type="dxa"/>
          </w:tcPr>
          <w:p w14:paraId="10D42C31" w14:textId="4F1AFE45" w:rsidR="00D15619" w:rsidRDefault="00D15619" w:rsidP="00A50C80">
            <w:pPr>
              <w:pStyle w:val="berschrift2"/>
            </w:pPr>
            <w:r>
              <w:lastRenderedPageBreak/>
              <w:t>2.1</w:t>
            </w:r>
          </w:p>
        </w:tc>
        <w:tc>
          <w:tcPr>
            <w:tcW w:w="7315" w:type="dxa"/>
          </w:tcPr>
          <w:p w14:paraId="197929F5" w14:textId="77777777" w:rsidR="00D15619" w:rsidRDefault="00D15619" w:rsidP="00A50C80">
            <w:pPr>
              <w:pStyle w:val="berschrift2"/>
            </w:pPr>
            <w:r>
              <w:t>Lokaler, verzerrungsfreier Raumbezug</w:t>
            </w:r>
          </w:p>
          <w:p w14:paraId="4B3E0838" w14:textId="77777777" w:rsidR="00B24358" w:rsidRDefault="00B24358" w:rsidP="00D15619">
            <w:r>
              <w:t xml:space="preserve">In </w:t>
            </w:r>
            <w:r w:rsidR="00C21263">
              <w:t xml:space="preserve">aller Regel </w:t>
            </w:r>
            <w:r>
              <w:t xml:space="preserve">sind </w:t>
            </w:r>
            <w:r w:rsidR="00C21263">
              <w:t>für jedes Gebäude einheitliche lokale Bezugssysteme der Lage und der Höhe in Abstimmung mit dem A</w:t>
            </w:r>
            <w:r w:rsidR="008323DD">
              <w:t>G</w:t>
            </w:r>
            <w:r w:rsidR="00C21263">
              <w:t xml:space="preserve"> festzulegen. </w:t>
            </w:r>
          </w:p>
          <w:p w14:paraId="71B27E33" w14:textId="4B12F3D4" w:rsidR="00B24358" w:rsidRDefault="00B24358" w:rsidP="00D15619">
            <w:r>
              <w:t xml:space="preserve">Als Nullhorizont für Höhenangaben im Gebäude ist </w:t>
            </w:r>
            <w:r w:rsidR="00864FF3">
              <w:t xml:space="preserve">im Regelfall </w:t>
            </w:r>
            <w:r>
              <w:t xml:space="preserve">die Oberkante des Fertigfußbodens im Erdgeschoss (OKFF EG) </w:t>
            </w:r>
            <w:r w:rsidR="00E11726">
              <w:t>zu wählen. Die Lagekoordinaten werden in aller Regel durch eine Gebäudeecke und die Richtung einer davon abgehenden Gebäudeseite festgelegt.</w:t>
            </w:r>
          </w:p>
          <w:p w14:paraId="06BC6C24" w14:textId="278E947C" w:rsidR="00B24358" w:rsidRDefault="00B24358" w:rsidP="00D15619">
            <w:r>
              <w:t>Hierzu werden temporäre Messnetze in die Gebäude gelegt, deren Vermarkung rückstands- und zerstörungsfrei nach Abschluss der Messungen wieder beseitigt werden können.</w:t>
            </w:r>
          </w:p>
          <w:p w14:paraId="58221ED2" w14:textId="6D1B069E" w:rsidR="00D15619" w:rsidRDefault="00C21263" w:rsidP="00D15619">
            <w:r>
              <w:t xml:space="preserve">Die </w:t>
            </w:r>
            <w:r w:rsidR="00B24358">
              <w:t>Messn</w:t>
            </w:r>
            <w:r w:rsidR="00E11726">
              <w:t>e</w:t>
            </w:r>
            <w:r w:rsidR="00B24358">
              <w:t>tze</w:t>
            </w:r>
            <w:r>
              <w:t xml:space="preserve"> müssen so angelegt werden, dass </w:t>
            </w:r>
            <w:r w:rsidR="00B24358">
              <w:t>die Ergebnisse der Gebäudebestandsvermessung</w:t>
            </w:r>
            <w:r>
              <w:t xml:space="preserve"> in allen Räumen </w:t>
            </w:r>
            <w:r w:rsidR="00B24358">
              <w:t xml:space="preserve">kontrolliert in den einheitlichen </w:t>
            </w:r>
            <w:r w:rsidR="00E11726">
              <w:t xml:space="preserve">lokalen </w:t>
            </w:r>
            <w:r w:rsidR="00B24358">
              <w:t>Bezugsystemen abgebildet werden können</w:t>
            </w:r>
            <w:r w:rsidR="00E11726">
              <w:t xml:space="preserve"> und eine geometrisch fehlerfreie Auswertung der Bestandsdaten </w:t>
            </w:r>
            <w:r w:rsidR="00CE79C4">
              <w:t>raum- und geschoss</w:t>
            </w:r>
            <w:r w:rsidR="00E11726">
              <w:t>übergreifend möglich ist</w:t>
            </w:r>
            <w:r w:rsidR="00B24358">
              <w:t>.</w:t>
            </w:r>
          </w:p>
          <w:p w14:paraId="36B018A9" w14:textId="28DA7CFC" w:rsidR="004938CC" w:rsidRPr="00D15619" w:rsidRDefault="00E11726" w:rsidP="004938CC">
            <w:r>
              <w:t xml:space="preserve">Die dauerhafte Sicherung des lokalen, verzerrungsfreien Raumbezugs kann </w:t>
            </w:r>
            <w:r w:rsidR="00CE79C4">
              <w:t xml:space="preserve">optional </w:t>
            </w:r>
            <w:r>
              <w:t>durch mindestens zwei vermarkte Festpunkte</w:t>
            </w:r>
            <w:r w:rsidR="00CE79C4">
              <w:t xml:space="preserve">, in der Regel außerhalb des Gebäudes, vorgenommen werden, die messtechnisch in das Messnetz des Gebäudes eingebunden werden. </w:t>
            </w:r>
            <w:r w:rsidR="004938CC">
              <w:t xml:space="preserve">Diese Sicherungspunkte sind in Bezug auf das Gebäude jeweils so anzulegen, dass sie nicht durch Baumaßnahmen im oder am Gebäude zerstört werden. </w:t>
            </w:r>
            <w:r w:rsidR="00CE79C4">
              <w:t>So wird sichergestellt, dass Nachfolgemessungen in die Bestandsdaten des Gebäudes eingepasst werden können.</w:t>
            </w:r>
          </w:p>
        </w:tc>
      </w:tr>
      <w:tr w:rsidR="004938CC" w:rsidRPr="00D55746" w14:paraId="59F18267" w14:textId="77777777" w:rsidTr="0089554D">
        <w:trPr>
          <w:cantSplit/>
        </w:trPr>
        <w:tc>
          <w:tcPr>
            <w:tcW w:w="2055" w:type="dxa"/>
          </w:tcPr>
          <w:p w14:paraId="60BE4A0F" w14:textId="36176AA9" w:rsidR="004938CC" w:rsidRDefault="004938CC" w:rsidP="00A50C80">
            <w:pPr>
              <w:pStyle w:val="berschrift2"/>
            </w:pPr>
            <w:r>
              <w:t>2.2</w:t>
            </w:r>
          </w:p>
        </w:tc>
        <w:tc>
          <w:tcPr>
            <w:tcW w:w="7315" w:type="dxa"/>
          </w:tcPr>
          <w:p w14:paraId="47C38B38" w14:textId="77777777" w:rsidR="004938CC" w:rsidRDefault="004938CC" w:rsidP="00A50C80">
            <w:pPr>
              <w:pStyle w:val="berschrift2"/>
            </w:pPr>
            <w:r>
              <w:t>Globaler Raumbezug</w:t>
            </w:r>
          </w:p>
          <w:p w14:paraId="22FDD33E" w14:textId="7C19BA60" w:rsidR="004938CC" w:rsidRDefault="004938CC" w:rsidP="004938CC">
            <w:r>
              <w:t xml:space="preserve">Ist eine Verknüpfung der Gebäudebestandsdaten mit externen, raumbezogenen Daten, z.B. Auszügen aus der Liegenschaftsbestandsdokumentation oder Nachweisen des Liegenschaftskatasters, erforderlich, ist ein Anschluss des gebäudeübergreifenden Messnetzes an mindestens zwei Anschlusspunkte mit </w:t>
            </w:r>
            <w:r w:rsidR="0080403E">
              <w:t xml:space="preserve">Koordinaten in den </w:t>
            </w:r>
            <w:r>
              <w:t xml:space="preserve">amtlichen Koordinatenreferenzsystemen erforderlich. </w:t>
            </w:r>
          </w:p>
          <w:p w14:paraId="1E953D59" w14:textId="77777777" w:rsidR="00C55E11" w:rsidRDefault="004938CC" w:rsidP="004938CC">
            <w:r>
              <w:t xml:space="preserve">Als Anschlusspunkte </w:t>
            </w:r>
            <w:r w:rsidR="00DF134D">
              <w:t xml:space="preserve">zur Herstellung eines einheitlichen globalen Raumbezugs sind vornehmlich </w:t>
            </w:r>
            <w:r>
              <w:t xml:space="preserve">liegenschaftsbezogene </w:t>
            </w:r>
            <w:r w:rsidR="00DF134D">
              <w:t>Festpunkte gemäß</w:t>
            </w:r>
            <w:r>
              <w:t xml:space="preserve"> BFR Verm </w:t>
            </w:r>
            <w:r w:rsidR="00DF134D">
              <w:t xml:space="preserve">(LAP, LHP) </w:t>
            </w:r>
            <w:r>
              <w:t xml:space="preserve">oder Festpunkte der Vermessungsverwaltung </w:t>
            </w:r>
            <w:r w:rsidR="00C55E11">
              <w:t>im Umfeld der Liegenschaft zu verwenden</w:t>
            </w:r>
            <w:r>
              <w:t>.</w:t>
            </w:r>
          </w:p>
          <w:p w14:paraId="3734694B" w14:textId="7A3D593C" w:rsidR="004938CC" w:rsidRDefault="004938CC" w:rsidP="004938CC">
            <w:r>
              <w:t>Vor der Verwendung liegenschaftsbezogener Festpunkte bzw. Festpunkte der Vermessungsverwaltungen sind diese gemäß den Vorgaben der BFR Verm bzw. den Richtlinien der Vermessungsverwaltung zu prüfen.</w:t>
            </w:r>
          </w:p>
          <w:p w14:paraId="7F2C1A15" w14:textId="5BB94583" w:rsidR="0080403E" w:rsidRPr="004938CC" w:rsidRDefault="0080403E" w:rsidP="004938CC">
            <w:r>
              <w:t xml:space="preserve">Alternativ können zur Einbindung der Messnetze in die amtlichen Koordinatenreferenzsysteme zwei außerhalb des Gebäudes gelegene Punkte des Messnetzes durch satellitengestützte Messverfahren koordinatenmäßig in Lage und Höhe bestimmt werden. Dazu sind die Vorgaben der BFR Verm hinsichtlich </w:t>
            </w:r>
            <w:r w:rsidR="00083234">
              <w:t>temporärer Anschlusspunkte mittels GNSS einzuhalten.</w:t>
            </w:r>
          </w:p>
        </w:tc>
      </w:tr>
      <w:tr w:rsidR="00C55E11" w:rsidRPr="00D55746" w14:paraId="5A2C9FAC" w14:textId="77777777" w:rsidTr="0089554D">
        <w:trPr>
          <w:cantSplit/>
        </w:trPr>
        <w:tc>
          <w:tcPr>
            <w:tcW w:w="2055" w:type="dxa"/>
          </w:tcPr>
          <w:p w14:paraId="52809411" w14:textId="77777777" w:rsidR="00C55E11" w:rsidRDefault="00C55E11" w:rsidP="00A50C80">
            <w:pPr>
              <w:pStyle w:val="berschrift2"/>
            </w:pPr>
          </w:p>
        </w:tc>
        <w:tc>
          <w:tcPr>
            <w:tcW w:w="7315" w:type="dxa"/>
          </w:tcPr>
          <w:p w14:paraId="29BD31CF" w14:textId="77777777" w:rsidR="00C55E11" w:rsidRDefault="00C55E11" w:rsidP="00A50C80">
            <w:pPr>
              <w:pStyle w:val="berschrift2"/>
            </w:pPr>
          </w:p>
        </w:tc>
      </w:tr>
      <w:tr w:rsidR="00A67DA5" w:rsidRPr="00D55746" w14:paraId="01E0D084" w14:textId="77777777" w:rsidTr="00947183">
        <w:tc>
          <w:tcPr>
            <w:tcW w:w="2055" w:type="dxa"/>
          </w:tcPr>
          <w:p w14:paraId="5A5E1DF9" w14:textId="48D224D8" w:rsidR="00A67DA5" w:rsidRDefault="008B5AA4" w:rsidP="00947183">
            <w:pPr>
              <w:pStyle w:val="berschrift1"/>
              <w:keepNext w:val="0"/>
            </w:pPr>
            <w:r>
              <w:t>3</w:t>
            </w:r>
          </w:p>
        </w:tc>
        <w:tc>
          <w:tcPr>
            <w:tcW w:w="7315" w:type="dxa"/>
          </w:tcPr>
          <w:p w14:paraId="53C56381" w14:textId="77777777" w:rsidR="00A67DA5" w:rsidRDefault="00A67DA5" w:rsidP="00947183">
            <w:pPr>
              <w:pStyle w:val="berschrift1"/>
              <w:keepNext w:val="0"/>
            </w:pPr>
            <w:r>
              <w:t>Vermessungsleistungen zur Gebäudebestandsdokumentation</w:t>
            </w:r>
          </w:p>
          <w:p w14:paraId="2009C88B" w14:textId="77777777" w:rsidR="001C535C" w:rsidRDefault="001C535C" w:rsidP="001C535C">
            <w:r>
              <w:t xml:space="preserve">Die Gebäudebestandsdokumentation setzt sich aus der vermessungstechnischen Erfassung und Modellierung der Gebäudegeometrie (Gebäudebestandsvermessung) sowie Erhebung bzw. Ableitung attributiver, alphanumerischer Gebäudedaten zusammen. </w:t>
            </w:r>
          </w:p>
          <w:p w14:paraId="5504B52B" w14:textId="6A3C22A3" w:rsidR="001C535C" w:rsidRDefault="001C535C" w:rsidP="001C535C">
            <w:r>
              <w:lastRenderedPageBreak/>
              <w:t>Zielsetzung der Gebäudebestandsdokumentation gemäß den BFR GBestand ist das Erstellen von 2D-Geschossplänen für jedes einzelne Geschoss eines Gebäudes, einschließlich der Dach- und Kellergeschosse.</w:t>
            </w:r>
          </w:p>
          <w:p w14:paraId="0B17EDB0" w14:textId="0C91C782" w:rsidR="001C535C" w:rsidRDefault="001C535C" w:rsidP="001C535C">
            <w:r>
              <w:t xml:space="preserve">Gemäß den BFR GBestand sind schon mit der Gebäudebestandsvermessung grundlegende alphanumerische Bestandsdaten zu erfassen und sachgemäß aufzubereiten. Der inhaltliche Umfang der Gebäudebestandsvermessung muss den Mindestinhalt von Geschossplänen gemäß BFR GBestand erfüllen. Hierbei sind die inhaltlichen und strukturellen Vorgaben der Abschnitt 3.1 und 3.2 der BFR GBestand mit den Anlagen </w:t>
            </w:r>
          </w:p>
          <w:p w14:paraId="0E550F68" w14:textId="76353C85" w:rsidR="001C535C" w:rsidRDefault="001C535C" w:rsidP="001C535C">
            <w:pPr>
              <w:pStyle w:val="Listenabsatz"/>
              <w:numPr>
                <w:ilvl w:val="0"/>
                <w:numId w:val="35"/>
              </w:numPr>
            </w:pPr>
            <w:r>
              <w:t>Planinhalte</w:t>
            </w:r>
            <w:r w:rsidR="00DF134D">
              <w:t xml:space="preserve"> </w:t>
            </w:r>
            <w:r>
              <w:t xml:space="preserve">Bestandserfassungen und </w:t>
            </w:r>
          </w:p>
          <w:p w14:paraId="66EC2C2E" w14:textId="77777777" w:rsidR="001C535C" w:rsidRDefault="001C535C" w:rsidP="001C535C">
            <w:pPr>
              <w:pStyle w:val="Listenabsatz"/>
              <w:numPr>
                <w:ilvl w:val="0"/>
                <w:numId w:val="35"/>
              </w:numPr>
            </w:pPr>
            <w:r>
              <w:t xml:space="preserve">alphanumerischen Datenumfang </w:t>
            </w:r>
          </w:p>
          <w:p w14:paraId="67B0BA1D" w14:textId="6634EC7A" w:rsidR="00864FF3" w:rsidRPr="00864FF3" w:rsidRDefault="001C535C" w:rsidP="00E97EC5">
            <w:r>
              <w:t>anzuwenden.</w:t>
            </w:r>
          </w:p>
        </w:tc>
      </w:tr>
      <w:tr w:rsidR="00E97EC5" w:rsidRPr="00D55746" w14:paraId="607CC8B0" w14:textId="77777777" w:rsidTr="00593631">
        <w:trPr>
          <w:cantSplit/>
        </w:trPr>
        <w:tc>
          <w:tcPr>
            <w:tcW w:w="2055" w:type="dxa"/>
          </w:tcPr>
          <w:p w14:paraId="377F3B44" w14:textId="77777777" w:rsidR="00E97EC5" w:rsidRDefault="00E97EC5" w:rsidP="00E97EC5">
            <w:pPr>
              <w:pStyle w:val="berschrift1"/>
              <w:keepNext w:val="0"/>
            </w:pPr>
          </w:p>
        </w:tc>
        <w:tc>
          <w:tcPr>
            <w:tcW w:w="7315" w:type="dxa"/>
          </w:tcPr>
          <w:p w14:paraId="27115F2B" w14:textId="77777777" w:rsidR="00E97EC5" w:rsidRDefault="00E97EC5" w:rsidP="00E97EC5">
            <w:pPr>
              <w:pStyle w:val="berschrift1"/>
              <w:keepNext w:val="0"/>
            </w:pPr>
          </w:p>
        </w:tc>
      </w:tr>
      <w:tr w:rsidR="00BD1BD4" w:rsidRPr="00D55746" w14:paraId="54D7CDCD" w14:textId="77777777" w:rsidTr="00593631">
        <w:trPr>
          <w:cantSplit/>
        </w:trPr>
        <w:tc>
          <w:tcPr>
            <w:tcW w:w="2055" w:type="dxa"/>
          </w:tcPr>
          <w:p w14:paraId="4666B48A" w14:textId="3B3C3B59" w:rsidR="00BD1BD4" w:rsidRPr="006C08E3" w:rsidRDefault="008B5AA4" w:rsidP="00E97EC5">
            <w:pPr>
              <w:pStyle w:val="berschrift1"/>
              <w:keepNext w:val="0"/>
            </w:pPr>
            <w:r>
              <w:t>4</w:t>
            </w:r>
          </w:p>
        </w:tc>
        <w:tc>
          <w:tcPr>
            <w:tcW w:w="7315" w:type="dxa"/>
          </w:tcPr>
          <w:p w14:paraId="6D28E4A0" w14:textId="77777777" w:rsidR="00BD1BD4" w:rsidRPr="00D55746" w:rsidRDefault="00BD1BD4" w:rsidP="00E97EC5">
            <w:pPr>
              <w:pStyle w:val="berschrift1"/>
              <w:keepNext w:val="0"/>
              <w:rPr>
                <w:sz w:val="20"/>
              </w:rPr>
            </w:pPr>
            <w:r>
              <w:t>Sonstige Leistungen</w:t>
            </w:r>
          </w:p>
        </w:tc>
      </w:tr>
      <w:tr w:rsidR="00BD1BD4" w:rsidRPr="00D55746" w14:paraId="33E944E3" w14:textId="77777777" w:rsidTr="00E97EC5">
        <w:tc>
          <w:tcPr>
            <w:tcW w:w="2055" w:type="dxa"/>
          </w:tcPr>
          <w:p w14:paraId="75FF1F17" w14:textId="5528B150" w:rsidR="00BD1BD4" w:rsidRPr="003D0293" w:rsidRDefault="008B5AA4" w:rsidP="00593631">
            <w:pPr>
              <w:pStyle w:val="berschrift2"/>
            </w:pPr>
            <w:r>
              <w:t>4</w:t>
            </w:r>
            <w:r w:rsidR="005541D2">
              <w:t>.</w:t>
            </w:r>
            <w:r w:rsidR="00BD1BD4" w:rsidRPr="003D0293">
              <w:t>1</w:t>
            </w:r>
          </w:p>
        </w:tc>
        <w:tc>
          <w:tcPr>
            <w:tcW w:w="7315" w:type="dxa"/>
          </w:tcPr>
          <w:p w14:paraId="5758AB97" w14:textId="77777777" w:rsidR="00BD1BD4" w:rsidRPr="003D0293" w:rsidRDefault="00BD1BD4" w:rsidP="00E97EC5">
            <w:pPr>
              <w:pStyle w:val="berschrift2"/>
            </w:pPr>
            <w:r w:rsidRPr="003D0293">
              <w:t>Aufbereitung vorhandener Bestandsdaten</w:t>
            </w:r>
          </w:p>
          <w:p w14:paraId="7FBBB1F8" w14:textId="5F37BB91" w:rsidR="00BD1BD4" w:rsidRDefault="00BD1BD4" w:rsidP="00E97EC5">
            <w:pPr>
              <w:pStyle w:val="Textkrper"/>
            </w:pPr>
            <w:r>
              <w:t xml:space="preserve">Vorhandene Bestandsdaten sind vor der Aufbereitung für die </w:t>
            </w:r>
            <w:r w:rsidRPr="00241EA1">
              <w:t xml:space="preserve">Übernahme in die </w:t>
            </w:r>
            <w:r w:rsidR="001108A5">
              <w:t>Gebäude</w:t>
            </w:r>
            <w:r w:rsidRPr="00241EA1">
              <w:t xml:space="preserve">bestandsdokumentation gemäß BFR </w:t>
            </w:r>
            <w:r w:rsidR="001108A5">
              <w:t>G</w:t>
            </w:r>
            <w:r>
              <w:t>Bestand</w:t>
            </w:r>
            <w:r w:rsidR="001108A5">
              <w:t xml:space="preserve"> </w:t>
            </w:r>
            <w:r w:rsidR="00CB4556">
              <w:t xml:space="preserve">hinsichtlich der inhaltlichen und der geometrischen Konsistenz </w:t>
            </w:r>
            <w:r w:rsidRPr="00241EA1">
              <w:t>zu bewerten.</w:t>
            </w:r>
          </w:p>
          <w:p w14:paraId="78238FA6" w14:textId="11E0A46D" w:rsidR="00CB4556" w:rsidRDefault="003B704D" w:rsidP="00E97EC5">
            <w:pPr>
              <w:pStyle w:val="Textkrper"/>
            </w:pPr>
            <w:r>
              <w:t>Die Prüfung der inhaltlichen Konsistenz erfolgt in einem Feldvergleich (Pos. 4.2), bei dem die Vollständigkeit der Bestandsdaten vor Ort überprüft wird.</w:t>
            </w:r>
          </w:p>
          <w:p w14:paraId="7210944E" w14:textId="5ED17718" w:rsidR="003B704D" w:rsidRDefault="003B704D" w:rsidP="00E97EC5">
            <w:pPr>
              <w:pStyle w:val="Textkrper"/>
            </w:pPr>
            <w:r>
              <w:t xml:space="preserve">Die Prüfung der geometrischen Konsistenz kann durch stichprobenhaften Vergleich von Maßketten mit der Plangeometrie erfolgen. Sind keine Maßketten in den aufzubereitenden Bestandsdaten vorhanden, sind im Zuge eines Feldvergleichs (Pos 4.2) stichprobenhaft Maße am Gebäude mit einfachen Messverfahren zu bestimmen und den Maßen der Bestandsdaten gegenüberzustellen. </w:t>
            </w:r>
            <w:r w:rsidR="009A4914">
              <w:t xml:space="preserve">Soweit nicht anders durch den AG festgelegt, dürfen </w:t>
            </w:r>
            <w:r>
              <w:t xml:space="preserve">Maßabweichungen </w:t>
            </w:r>
            <w:r w:rsidR="009A4914">
              <w:t>in Abhängigkeit vom Maßstab der Bestandsdaten den Grenzwert</w:t>
            </w:r>
          </w:p>
          <w:p w14:paraId="24D2BB0C" w14:textId="7BE4E5D2" w:rsidR="009A4914" w:rsidRPr="009A4914" w:rsidRDefault="00D54A17" w:rsidP="00E97EC5">
            <w:pPr>
              <w:pStyle w:val="Textkrper"/>
            </w:pPr>
            <m:oMathPara>
              <m:oMath>
                <m:sSub>
                  <m:sSubPr>
                    <m:ctrlPr>
                      <w:rPr>
                        <w:rFonts w:ascii="Cambria Math" w:hAnsi="Cambria Math"/>
                        <w:i/>
                      </w:rPr>
                    </m:ctrlPr>
                  </m:sSubPr>
                  <m:e>
                    <m:r>
                      <w:rPr>
                        <w:rFonts w:ascii="Cambria Math" w:hAnsi="Cambria Math"/>
                      </w:rPr>
                      <m:t>z</m:t>
                    </m:r>
                  </m:e>
                  <m:sub>
                    <m:r>
                      <m:rPr>
                        <m:sty m:val="p"/>
                      </m:rPr>
                      <w:rPr>
                        <w:rFonts w:ascii="Cambria Math" w:hAnsi="Cambria Math"/>
                      </w:rPr>
                      <m:t>Δ</m:t>
                    </m:r>
                    <m:r>
                      <w:rPr>
                        <w:rFonts w:ascii="Cambria Math" w:hAnsi="Cambria Math"/>
                      </w:rPr>
                      <m:t>S</m:t>
                    </m:r>
                  </m:sub>
                </m:sSub>
                <m:r>
                  <w:rPr>
                    <w:rFonts w:ascii="Cambria Math" w:hAnsi="Cambria Math"/>
                  </w:rPr>
                  <m:t>=0,5*M</m:t>
                </m:r>
              </m:oMath>
            </m:oMathPara>
          </w:p>
          <w:p w14:paraId="492FB5B3" w14:textId="167C9459" w:rsidR="009A4914" w:rsidRPr="009A4914" w:rsidRDefault="009A4914" w:rsidP="00E97EC5">
            <w:pPr>
              <w:pStyle w:val="Textkrper"/>
            </w:pPr>
            <m:oMathPara>
              <m:oMath>
                <m:r>
                  <w:rPr>
                    <w:rFonts w:ascii="Cambria Math" w:hAnsi="Cambria Math"/>
                  </w:rPr>
                  <m:t>M:Maßstabszahl der Planmaßstabs</m:t>
                </m:r>
              </m:oMath>
            </m:oMathPara>
          </w:p>
          <w:p w14:paraId="3D990E2D" w14:textId="23E84783" w:rsidR="009A4914" w:rsidRDefault="009A4914" w:rsidP="00E97EC5">
            <w:pPr>
              <w:pStyle w:val="Textkrper"/>
            </w:pPr>
            <w:r>
              <w:t>nicht überschreiten.</w:t>
            </w:r>
          </w:p>
          <w:tbl>
            <w:tblPr>
              <w:tblStyle w:val="Tabellenraster"/>
              <w:tblW w:w="0" w:type="auto"/>
              <w:tblLayout w:type="fixed"/>
              <w:tblLook w:val="04A0" w:firstRow="1" w:lastRow="0" w:firstColumn="1" w:lastColumn="0" w:noHBand="0" w:noVBand="1"/>
            </w:tblPr>
            <w:tblGrid>
              <w:gridCol w:w="1270"/>
              <w:gridCol w:w="1843"/>
              <w:gridCol w:w="2268"/>
            </w:tblGrid>
            <w:tr w:rsidR="009A4914" w14:paraId="2C24562A" w14:textId="77777777" w:rsidTr="009A4914">
              <w:tc>
                <w:tcPr>
                  <w:tcW w:w="1270" w:type="dxa"/>
                </w:tcPr>
                <w:p w14:paraId="5BB904A9" w14:textId="741D1F37" w:rsidR="009A4914" w:rsidRDefault="009A4914" w:rsidP="00E97EC5">
                  <w:pPr>
                    <w:pStyle w:val="Textkrper"/>
                    <w:jc w:val="center"/>
                  </w:pPr>
                  <w:r>
                    <w:t>Maßstab</w:t>
                  </w:r>
                </w:p>
              </w:tc>
              <w:tc>
                <w:tcPr>
                  <w:tcW w:w="1843" w:type="dxa"/>
                </w:tcPr>
                <w:p w14:paraId="63F4B23E" w14:textId="598136B1" w:rsidR="009A4914" w:rsidRDefault="009A4914" w:rsidP="00E97EC5">
                  <w:pPr>
                    <w:pStyle w:val="Textkrper"/>
                    <w:jc w:val="center"/>
                  </w:pPr>
                  <w:r>
                    <w:t>Maßstabszahl</w:t>
                  </w:r>
                </w:p>
              </w:tc>
              <w:tc>
                <w:tcPr>
                  <w:tcW w:w="2268" w:type="dxa"/>
                </w:tcPr>
                <w:p w14:paraId="3D66CF1D" w14:textId="3C5CCD7B" w:rsidR="009A4914" w:rsidRDefault="009A4914" w:rsidP="00E97EC5">
                  <w:pPr>
                    <w:pStyle w:val="Textkrper"/>
                    <w:jc w:val="center"/>
                  </w:pPr>
                  <w:r>
                    <w:t xml:space="preserve">Grenzwert für Maßabweichung </w:t>
                  </w:r>
                  <m:oMath>
                    <m:sSub>
                      <m:sSubPr>
                        <m:ctrlPr>
                          <w:rPr>
                            <w:rFonts w:ascii="Cambria Math" w:hAnsi="Cambria Math"/>
                            <w:i/>
                          </w:rPr>
                        </m:ctrlPr>
                      </m:sSubPr>
                      <m:e>
                        <m:r>
                          <w:rPr>
                            <w:rFonts w:ascii="Cambria Math" w:hAnsi="Cambria Math"/>
                          </w:rPr>
                          <m:t>z</m:t>
                        </m:r>
                      </m:e>
                      <m:sub>
                        <m:r>
                          <m:rPr>
                            <m:sty m:val="p"/>
                          </m:rPr>
                          <w:rPr>
                            <w:rFonts w:ascii="Cambria Math" w:hAnsi="Cambria Math"/>
                          </w:rPr>
                          <m:t>Δ</m:t>
                        </m:r>
                        <m:r>
                          <w:rPr>
                            <w:rFonts w:ascii="Cambria Math" w:hAnsi="Cambria Math"/>
                          </w:rPr>
                          <m:t>S</m:t>
                        </m:r>
                      </m:sub>
                    </m:sSub>
                  </m:oMath>
                  <w:r>
                    <w:t xml:space="preserve"> [mm]</w:t>
                  </w:r>
                </w:p>
              </w:tc>
            </w:tr>
            <w:tr w:rsidR="009A4914" w14:paraId="6949EA3D" w14:textId="77777777" w:rsidTr="009A4914">
              <w:tc>
                <w:tcPr>
                  <w:tcW w:w="1270" w:type="dxa"/>
                </w:tcPr>
                <w:p w14:paraId="090A5FCE" w14:textId="7802E778" w:rsidR="009A4914" w:rsidRDefault="009A4914" w:rsidP="00E97EC5">
                  <w:pPr>
                    <w:pStyle w:val="Textkrper"/>
                    <w:jc w:val="center"/>
                  </w:pPr>
                  <w:r>
                    <w:t>1:200</w:t>
                  </w:r>
                </w:p>
              </w:tc>
              <w:tc>
                <w:tcPr>
                  <w:tcW w:w="1843" w:type="dxa"/>
                </w:tcPr>
                <w:p w14:paraId="6E0A0D71" w14:textId="244CB620" w:rsidR="009A4914" w:rsidRDefault="009A4914" w:rsidP="00E97EC5">
                  <w:pPr>
                    <w:pStyle w:val="Textkrper"/>
                    <w:jc w:val="center"/>
                  </w:pPr>
                  <w:r>
                    <w:t>200</w:t>
                  </w:r>
                </w:p>
              </w:tc>
              <w:tc>
                <w:tcPr>
                  <w:tcW w:w="2268" w:type="dxa"/>
                </w:tcPr>
                <w:p w14:paraId="12B29D51" w14:textId="10A69ABD" w:rsidR="009A4914" w:rsidRDefault="009A4914" w:rsidP="00E97EC5">
                  <w:pPr>
                    <w:pStyle w:val="Textkrper"/>
                    <w:jc w:val="center"/>
                  </w:pPr>
                  <w:r>
                    <w:t>100</w:t>
                  </w:r>
                </w:p>
              </w:tc>
            </w:tr>
            <w:tr w:rsidR="009A4914" w14:paraId="582E601A" w14:textId="77777777" w:rsidTr="009A4914">
              <w:tc>
                <w:tcPr>
                  <w:tcW w:w="1270" w:type="dxa"/>
                </w:tcPr>
                <w:p w14:paraId="0D93CD6B" w14:textId="1612EE61" w:rsidR="009A4914" w:rsidRDefault="009A4914" w:rsidP="00E97EC5">
                  <w:pPr>
                    <w:pStyle w:val="Textkrper"/>
                    <w:jc w:val="center"/>
                  </w:pPr>
                  <w:r>
                    <w:t>1:100</w:t>
                  </w:r>
                </w:p>
              </w:tc>
              <w:tc>
                <w:tcPr>
                  <w:tcW w:w="1843" w:type="dxa"/>
                </w:tcPr>
                <w:p w14:paraId="7A3C4A66" w14:textId="5C99ECDC" w:rsidR="009A4914" w:rsidRDefault="009A4914" w:rsidP="00E97EC5">
                  <w:pPr>
                    <w:pStyle w:val="Textkrper"/>
                    <w:jc w:val="center"/>
                  </w:pPr>
                  <w:r>
                    <w:t>100</w:t>
                  </w:r>
                </w:p>
              </w:tc>
              <w:tc>
                <w:tcPr>
                  <w:tcW w:w="2268" w:type="dxa"/>
                </w:tcPr>
                <w:p w14:paraId="75FF24A9" w14:textId="37ED7558" w:rsidR="009A4914" w:rsidRDefault="009A4914" w:rsidP="00E97EC5">
                  <w:pPr>
                    <w:pStyle w:val="Textkrper"/>
                    <w:jc w:val="center"/>
                  </w:pPr>
                  <w:r>
                    <w:t>50</w:t>
                  </w:r>
                </w:p>
              </w:tc>
            </w:tr>
            <w:tr w:rsidR="009A4914" w14:paraId="717DA9A0" w14:textId="77777777" w:rsidTr="009A4914">
              <w:tc>
                <w:tcPr>
                  <w:tcW w:w="1270" w:type="dxa"/>
                </w:tcPr>
                <w:p w14:paraId="6FBFB421" w14:textId="6034342D" w:rsidR="009A4914" w:rsidRDefault="009A4914" w:rsidP="00E97EC5">
                  <w:pPr>
                    <w:pStyle w:val="Textkrper"/>
                    <w:jc w:val="center"/>
                  </w:pPr>
                  <w:r>
                    <w:t>1:50</w:t>
                  </w:r>
                </w:p>
              </w:tc>
              <w:tc>
                <w:tcPr>
                  <w:tcW w:w="1843" w:type="dxa"/>
                </w:tcPr>
                <w:p w14:paraId="286E476E" w14:textId="3AC0FC7D" w:rsidR="009A4914" w:rsidRDefault="009A4914" w:rsidP="00E97EC5">
                  <w:pPr>
                    <w:pStyle w:val="Textkrper"/>
                    <w:jc w:val="center"/>
                  </w:pPr>
                  <w:r>
                    <w:t>50</w:t>
                  </w:r>
                </w:p>
              </w:tc>
              <w:tc>
                <w:tcPr>
                  <w:tcW w:w="2268" w:type="dxa"/>
                </w:tcPr>
                <w:p w14:paraId="29B7211A" w14:textId="427C45BC" w:rsidR="009A4914" w:rsidRDefault="009A4914" w:rsidP="00E97EC5">
                  <w:pPr>
                    <w:pStyle w:val="Textkrper"/>
                    <w:jc w:val="center"/>
                  </w:pPr>
                  <w:r>
                    <w:t>25</w:t>
                  </w:r>
                </w:p>
              </w:tc>
            </w:tr>
          </w:tbl>
          <w:p w14:paraId="210C2DB4" w14:textId="7B626003" w:rsidR="009A4914" w:rsidRDefault="009A4914" w:rsidP="00E97EC5">
            <w:pPr>
              <w:pStyle w:val="Beschriftung"/>
            </w:pPr>
          </w:p>
          <w:p w14:paraId="5784A85B" w14:textId="6FA785AE" w:rsidR="00BD1BD4" w:rsidRDefault="00BD1BD4" w:rsidP="00E97EC5">
            <w:pPr>
              <w:pStyle w:val="Textkrper"/>
            </w:pPr>
            <w:r>
              <w:t xml:space="preserve">Die Digitale Aufbereitung für die </w:t>
            </w:r>
            <w:r w:rsidR="00285C15">
              <w:t xml:space="preserve">Gebäudebestandsdokumentation </w:t>
            </w:r>
            <w:r>
              <w:t xml:space="preserve">erfolgt gemäß den strukturellen und inhaltlichen Vorgaben </w:t>
            </w:r>
            <w:r w:rsidR="001108A5">
              <w:t xml:space="preserve">zur Erstellung von Geschossplänen gemäß </w:t>
            </w:r>
            <w:r>
              <w:t>de</w:t>
            </w:r>
            <w:r w:rsidR="001108A5">
              <w:t>n</w:t>
            </w:r>
            <w:r>
              <w:t xml:space="preserve"> </w:t>
            </w:r>
            <w:r w:rsidR="001108A5">
              <w:t>BFR Gebäudebestandsdokumentation.</w:t>
            </w:r>
            <w:r>
              <w:t xml:space="preserve"> </w:t>
            </w:r>
          </w:p>
          <w:p w14:paraId="173B8D84" w14:textId="2C20B743" w:rsidR="00BD1BD4" w:rsidRDefault="00BD1BD4" w:rsidP="00E97EC5">
            <w:pPr>
              <w:pStyle w:val="Textkrper"/>
            </w:pPr>
            <w:r>
              <w:t xml:space="preserve">Veränderungen </w:t>
            </w:r>
            <w:r w:rsidR="008B5AA4">
              <w:t>am Gebäude</w:t>
            </w:r>
            <w:r>
              <w:t xml:space="preserve"> werden vom AN gem. </w:t>
            </w:r>
            <w:r w:rsidRPr="00DE5DA0">
              <w:t>Pos.</w:t>
            </w:r>
            <w:r w:rsidR="003A0D7E" w:rsidRPr="00DE5DA0">
              <w:t> </w:t>
            </w:r>
            <w:r w:rsidRPr="00DE5DA0">
              <w:t>3</w:t>
            </w:r>
            <w:r>
              <w:t xml:space="preserve"> aufgenommen und durch Ändern, Löschen bzw. Hinzufügen in den Gesamtdatenbestand eingepflegt.</w:t>
            </w:r>
          </w:p>
          <w:p w14:paraId="62B0CE5A" w14:textId="77777777" w:rsidR="00BD1BD4" w:rsidRPr="003D0293" w:rsidRDefault="00BD1BD4" w:rsidP="00E97EC5">
            <w:pPr>
              <w:pStyle w:val="Textkrper"/>
            </w:pPr>
            <w:r>
              <w:lastRenderedPageBreak/>
              <w:t>Gelöschte und veränderte Objekte sind durch den AN in einem analogen Planwerk oder in einem separaten Datenbestand zu dokumentieren und dem AG zu übergeben.</w:t>
            </w:r>
          </w:p>
        </w:tc>
      </w:tr>
      <w:tr w:rsidR="00BD1BD4" w:rsidRPr="00D55746" w14:paraId="6A6E3478" w14:textId="77777777" w:rsidTr="00593631">
        <w:trPr>
          <w:cantSplit/>
        </w:trPr>
        <w:tc>
          <w:tcPr>
            <w:tcW w:w="2055" w:type="dxa"/>
          </w:tcPr>
          <w:p w14:paraId="17048B6A" w14:textId="17D635EB" w:rsidR="00BD1BD4" w:rsidRPr="00946B1C" w:rsidRDefault="008B5AA4" w:rsidP="00947183">
            <w:pPr>
              <w:pStyle w:val="berschrift3"/>
            </w:pPr>
            <w:r>
              <w:lastRenderedPageBreak/>
              <w:t>4</w:t>
            </w:r>
            <w:r w:rsidR="005541D2">
              <w:t>.</w:t>
            </w:r>
            <w:r w:rsidR="00BD1BD4" w:rsidRPr="00946B1C">
              <w:t>1.1</w:t>
            </w:r>
          </w:p>
        </w:tc>
        <w:tc>
          <w:tcPr>
            <w:tcW w:w="7315" w:type="dxa"/>
          </w:tcPr>
          <w:p w14:paraId="246517E8" w14:textId="118E36BA" w:rsidR="00BD1BD4" w:rsidRPr="006E644D" w:rsidRDefault="00BD1BD4" w:rsidP="00947183">
            <w:pPr>
              <w:pStyle w:val="berschrift3"/>
            </w:pPr>
            <w:r w:rsidRPr="006E644D">
              <w:t>Digitalisierung analoger Pläne</w:t>
            </w:r>
          </w:p>
          <w:p w14:paraId="5552F42D" w14:textId="320FEDCB" w:rsidR="00BD1BD4" w:rsidRPr="006E644D" w:rsidRDefault="00BD1BD4" w:rsidP="00593631">
            <w:pPr>
              <w:pStyle w:val="Textkrper"/>
            </w:pPr>
            <w:r w:rsidRPr="006E644D">
              <w:t xml:space="preserve">Überführung analoger Bestandspläne in digitale Bestandsdaten in der Datenstruktur der </w:t>
            </w:r>
            <w:r w:rsidR="008B5AA4">
              <w:t>Gebäude</w:t>
            </w:r>
            <w:r w:rsidRPr="006E644D">
              <w:t>bestandsdokumentation</w:t>
            </w:r>
            <w:r w:rsidR="008B5AA4">
              <w:t xml:space="preserve"> gemäß BFR GBestand, einschließlich</w:t>
            </w:r>
            <w:r w:rsidRPr="006E644D">
              <w:t xml:space="preserve"> Aufbereitung</w:t>
            </w:r>
            <w:r w:rsidR="008B5AA4">
              <w:t xml:space="preserve">, </w:t>
            </w:r>
            <w:r w:rsidRPr="006E644D">
              <w:t xml:space="preserve">z.B. </w:t>
            </w:r>
            <w:r w:rsidR="008B5AA4">
              <w:t>Bildung von Geschoss- und Raumpolygonen</w:t>
            </w:r>
            <w:r w:rsidR="0083664C">
              <w:t>, Erstellen von Raumstempeln, etc.</w:t>
            </w:r>
          </w:p>
        </w:tc>
      </w:tr>
      <w:tr w:rsidR="00BD1BD4" w:rsidRPr="00D55746" w14:paraId="51D41AE1" w14:textId="77777777" w:rsidTr="00593631">
        <w:trPr>
          <w:cantSplit/>
        </w:trPr>
        <w:tc>
          <w:tcPr>
            <w:tcW w:w="2055" w:type="dxa"/>
          </w:tcPr>
          <w:p w14:paraId="20DFBC6F" w14:textId="568DB4A0" w:rsidR="00BD1BD4" w:rsidRPr="00D81959" w:rsidRDefault="0083664C" w:rsidP="00947183">
            <w:pPr>
              <w:pStyle w:val="berschrift3"/>
            </w:pPr>
            <w:r w:rsidRPr="00D81959">
              <w:t>4.1.2</w:t>
            </w:r>
          </w:p>
        </w:tc>
        <w:tc>
          <w:tcPr>
            <w:tcW w:w="7315" w:type="dxa"/>
          </w:tcPr>
          <w:p w14:paraId="424CA3D3" w14:textId="47ECE52D" w:rsidR="00BD1BD4" w:rsidRPr="006E644D" w:rsidRDefault="00BD1BD4" w:rsidP="00947183">
            <w:pPr>
              <w:pStyle w:val="berschrift3"/>
            </w:pPr>
            <w:r w:rsidRPr="006E644D">
              <w:t>Konstruktion aus analogen Plänen</w:t>
            </w:r>
          </w:p>
          <w:p w14:paraId="1135A3A8" w14:textId="7209979F" w:rsidR="00BD1BD4" w:rsidRPr="006E644D" w:rsidRDefault="00BD1BD4" w:rsidP="00593631">
            <w:pPr>
              <w:pStyle w:val="Textkrper"/>
            </w:pPr>
            <w:r w:rsidRPr="006E644D">
              <w:t>Konstruktion der Geometrie auf der Basis vorhandener Zahlennachweise wie z. B. bemaßter Bestandspläne und Auf</w:t>
            </w:r>
            <w:r w:rsidR="00E30A2F">
              <w:t>ber</w:t>
            </w:r>
            <w:r w:rsidRPr="006E644D">
              <w:t xml:space="preserve">eitung </w:t>
            </w:r>
            <w:r w:rsidR="00E30A2F">
              <w:t xml:space="preserve">der Bestandsdaten, </w:t>
            </w:r>
            <w:r w:rsidRPr="006E644D">
              <w:t>z.</w:t>
            </w:r>
            <w:r w:rsidR="00E30A2F">
              <w:t> </w:t>
            </w:r>
            <w:r w:rsidRPr="006E644D">
              <w:t xml:space="preserve">B. </w:t>
            </w:r>
            <w:r w:rsidR="001108A5">
              <w:t>Bildung von Raum- und Geschosspolygonen</w:t>
            </w:r>
            <w:r w:rsidR="00E30A2F">
              <w:t xml:space="preserve"> gemäß den Vorgaben der BFR GBestand.</w:t>
            </w:r>
          </w:p>
        </w:tc>
      </w:tr>
      <w:tr w:rsidR="00BD1BD4" w:rsidRPr="00D55746" w14:paraId="4F76A96F" w14:textId="77777777" w:rsidTr="00593631">
        <w:trPr>
          <w:cantSplit/>
        </w:trPr>
        <w:tc>
          <w:tcPr>
            <w:tcW w:w="2055" w:type="dxa"/>
          </w:tcPr>
          <w:p w14:paraId="51180214" w14:textId="01E6E5AF" w:rsidR="00BD1BD4" w:rsidRPr="00D81959" w:rsidRDefault="0083664C" w:rsidP="00947183">
            <w:pPr>
              <w:pStyle w:val="berschrift3"/>
            </w:pPr>
            <w:r w:rsidRPr="00D81959">
              <w:t>4.1.3</w:t>
            </w:r>
          </w:p>
        </w:tc>
        <w:tc>
          <w:tcPr>
            <w:tcW w:w="7315" w:type="dxa"/>
          </w:tcPr>
          <w:p w14:paraId="21149907" w14:textId="2D503C0A" w:rsidR="00BD1BD4" w:rsidRPr="00106E5D" w:rsidRDefault="00BD1BD4" w:rsidP="00947183">
            <w:pPr>
              <w:pStyle w:val="berschrift3"/>
            </w:pPr>
            <w:r w:rsidRPr="00106E5D">
              <w:t>Übernahme digitaler Datenbestände</w:t>
            </w:r>
          </w:p>
          <w:p w14:paraId="2E3F5A44" w14:textId="4CDC9DFE" w:rsidR="00BD1BD4" w:rsidRPr="00106E5D" w:rsidRDefault="00BD1BD4" w:rsidP="00593631">
            <w:pPr>
              <w:pStyle w:val="Textkrper"/>
            </w:pPr>
            <w:r w:rsidRPr="00D13BD3">
              <w:t xml:space="preserve">Herstellung einer Datenstruktur gemäß </w:t>
            </w:r>
            <w:r>
              <w:t>den strukturellen und inhaltlichen Vorgaben de</w:t>
            </w:r>
            <w:r w:rsidR="001108A5">
              <w:t>r</w:t>
            </w:r>
            <w:r>
              <w:t xml:space="preserve"> </w:t>
            </w:r>
            <w:r w:rsidR="001108A5">
              <w:t xml:space="preserve">Baufachlichen Richtlinien Gebäudebestandsdokumentation </w:t>
            </w:r>
            <w:r>
              <w:t>(</w:t>
            </w:r>
            <w:r w:rsidRPr="00D13BD3">
              <w:t xml:space="preserve">BFR </w:t>
            </w:r>
            <w:r w:rsidR="001108A5">
              <w:t>G</w:t>
            </w:r>
            <w:r>
              <w:t>Bestand)</w:t>
            </w:r>
            <w:r w:rsidRPr="00D13BD3">
              <w:t>.</w:t>
            </w:r>
            <w:r>
              <w:t xml:space="preserve"> </w:t>
            </w:r>
            <w:r w:rsidRPr="00D13BD3">
              <w:t xml:space="preserve">Dabei sind </w:t>
            </w:r>
            <w:r w:rsidR="00E30A2F">
              <w:t>u. a.</w:t>
            </w:r>
            <w:r>
              <w:t xml:space="preserve"> </w:t>
            </w:r>
            <w:r w:rsidRPr="00D13BD3">
              <w:t xml:space="preserve">die Vorgaben </w:t>
            </w:r>
            <w:r>
              <w:t xml:space="preserve">zur </w:t>
            </w:r>
            <w:r w:rsidR="00E30A2F">
              <w:t>Bildung von Geschoss- und Raumpolygonen, zur Raumbeschriftung sowie der Tür- und</w:t>
            </w:r>
            <w:r w:rsidRPr="00D13BD3">
              <w:t xml:space="preserve"> </w:t>
            </w:r>
            <w:r w:rsidR="00E30A2F">
              <w:t xml:space="preserve">Fenstercodierung </w:t>
            </w:r>
            <w:r w:rsidRPr="00D13BD3">
              <w:t>zu berücksichtigen.</w:t>
            </w:r>
          </w:p>
        </w:tc>
      </w:tr>
      <w:tr w:rsidR="00BD1BD4" w:rsidRPr="00D55746" w14:paraId="6F02CBFC" w14:textId="77777777" w:rsidTr="00593631">
        <w:trPr>
          <w:cantSplit/>
        </w:trPr>
        <w:tc>
          <w:tcPr>
            <w:tcW w:w="2055" w:type="dxa"/>
          </w:tcPr>
          <w:p w14:paraId="745ED06A" w14:textId="5AE26D82" w:rsidR="00BD1BD4" w:rsidRPr="007500BF" w:rsidRDefault="008B5AA4" w:rsidP="00593631">
            <w:pPr>
              <w:pStyle w:val="berschrift2"/>
            </w:pPr>
            <w:r>
              <w:t>4</w:t>
            </w:r>
            <w:r w:rsidR="005541D2">
              <w:t>.</w:t>
            </w:r>
            <w:r w:rsidR="001108A5">
              <w:t>2</w:t>
            </w:r>
          </w:p>
        </w:tc>
        <w:tc>
          <w:tcPr>
            <w:tcW w:w="7315" w:type="dxa"/>
          </w:tcPr>
          <w:p w14:paraId="746E6452" w14:textId="77777777" w:rsidR="00BD1BD4" w:rsidRDefault="00BD1BD4" w:rsidP="00593631">
            <w:pPr>
              <w:pStyle w:val="berschrift2"/>
            </w:pPr>
            <w:r w:rsidRPr="00085EF1">
              <w:t>Feldvergleich</w:t>
            </w:r>
          </w:p>
          <w:p w14:paraId="4A0B9AB2" w14:textId="03A407BE" w:rsidR="00BD1BD4" w:rsidRDefault="00BD1BD4" w:rsidP="00593631">
            <w:pPr>
              <w:pStyle w:val="Textkrper"/>
            </w:pPr>
            <w:r w:rsidRPr="00085EF1">
              <w:t xml:space="preserve">Vergleich der Örtlichkeit mit den Nachweisen der </w:t>
            </w:r>
            <w:r w:rsidR="001108A5">
              <w:t>Gebäude</w:t>
            </w:r>
            <w:r w:rsidRPr="00085EF1">
              <w:t>bestandsdokumentation</w:t>
            </w:r>
            <w:r>
              <w:t xml:space="preserve"> bzw. anderer vorhandener </w:t>
            </w:r>
            <w:r w:rsidR="001108A5">
              <w:t>Gebäudeb</w:t>
            </w:r>
            <w:r>
              <w:t>estandsdaten</w:t>
            </w:r>
            <w:r w:rsidRPr="00085EF1">
              <w:t xml:space="preserve">. </w:t>
            </w:r>
          </w:p>
          <w:p w14:paraId="26CC5ABF" w14:textId="77777777" w:rsidR="00BD1BD4" w:rsidRDefault="00BD1BD4" w:rsidP="00593631">
            <w:pPr>
              <w:pStyle w:val="Textkrper"/>
            </w:pPr>
            <w:r w:rsidRPr="00085EF1">
              <w:t xml:space="preserve">Veränderungen </w:t>
            </w:r>
            <w:r>
              <w:t xml:space="preserve">gegenüber den Bestandsdaten </w:t>
            </w:r>
            <w:r w:rsidRPr="00085EF1">
              <w:t xml:space="preserve">sind in Plänen eindeutig </w:t>
            </w:r>
            <w:r>
              <w:t>kenntlich zu machen.</w:t>
            </w:r>
          </w:p>
          <w:p w14:paraId="3A3A70B6" w14:textId="633A4466" w:rsidR="0067655D" w:rsidRPr="00EE35CB" w:rsidRDefault="0067655D" w:rsidP="00593631">
            <w:pPr>
              <w:pStyle w:val="Textkrper"/>
              <w:rPr>
                <w:sz w:val="24"/>
              </w:rPr>
            </w:pPr>
            <w:r w:rsidRPr="00E97EC5">
              <w:t>Der Feldvergleich stellt eine Vorleistung dar, mit der der Umfang der Veränderung des aktuellen Gebäudebestands gegenüber vorhandenen Gebäudebestandsdokumentationen bzw. anderen Gebäudebestandsdaten festgestellt werden soll. Er ersetzt nicht die Vermessungsleistungen zur Gebäudebestandsdokumentation gemäß Pos 3.</w:t>
            </w:r>
          </w:p>
        </w:tc>
      </w:tr>
      <w:tr w:rsidR="00BD1BD4" w:rsidRPr="00D55746" w14:paraId="48FF4D7C" w14:textId="77777777" w:rsidTr="00593631">
        <w:trPr>
          <w:cantSplit/>
        </w:trPr>
        <w:tc>
          <w:tcPr>
            <w:tcW w:w="2055" w:type="dxa"/>
          </w:tcPr>
          <w:p w14:paraId="59586287" w14:textId="36B2FE2C" w:rsidR="00BD1BD4" w:rsidRPr="007500BF" w:rsidRDefault="008B5AA4" w:rsidP="00593631">
            <w:pPr>
              <w:pStyle w:val="berschrift2"/>
            </w:pPr>
            <w:r>
              <w:t>4</w:t>
            </w:r>
            <w:r w:rsidR="005541D2">
              <w:t>.</w:t>
            </w:r>
            <w:r>
              <w:t>3</w:t>
            </w:r>
          </w:p>
        </w:tc>
        <w:tc>
          <w:tcPr>
            <w:tcW w:w="7315" w:type="dxa"/>
            <w:vAlign w:val="center"/>
          </w:tcPr>
          <w:p w14:paraId="2EC8C91C" w14:textId="77777777" w:rsidR="00BD1BD4" w:rsidRDefault="00BD1BD4" w:rsidP="00593631">
            <w:pPr>
              <w:pStyle w:val="berschrift2"/>
            </w:pPr>
            <w:r w:rsidRPr="007500BF">
              <w:t>Anfertigen analoger Pläne</w:t>
            </w:r>
            <w:r>
              <w:t xml:space="preserve"> (Eventualposition)</w:t>
            </w:r>
          </w:p>
          <w:p w14:paraId="67D7F882" w14:textId="77777777" w:rsidR="00BD1BD4" w:rsidRDefault="00BD1BD4" w:rsidP="00593631">
            <w:pPr>
              <w:pStyle w:val="Textkrper"/>
            </w:pPr>
            <w:r>
              <w:t>Analoge Pläne sind im Bedarfsfall zu liefern. Die Planmaßstäbe sowie die Planinhalte sind mit dem AG abzustimmen.</w:t>
            </w:r>
          </w:p>
          <w:p w14:paraId="1DAE765B" w14:textId="2BBD8A47" w:rsidR="00BD1BD4" w:rsidRPr="005B249A" w:rsidRDefault="00E30A2F" w:rsidP="00135CCB">
            <w:pPr>
              <w:pStyle w:val="Textkrper"/>
            </w:pPr>
            <w:r>
              <w:t>2D-Geschoss</w:t>
            </w:r>
            <w:r w:rsidR="00BD1BD4">
              <w:t>pläne sind im Regelfall in den Maßstäben 1:100 bis 1:</w:t>
            </w:r>
            <w:r>
              <w:t>25</w:t>
            </w:r>
            <w:r w:rsidR="00BD1BD4">
              <w:t xml:space="preserve"> anzufertigen.</w:t>
            </w:r>
          </w:p>
        </w:tc>
      </w:tr>
      <w:tr w:rsidR="00BD1BD4" w:rsidRPr="00D55746" w14:paraId="33A9776C" w14:textId="77777777" w:rsidTr="00593631">
        <w:trPr>
          <w:cantSplit/>
        </w:trPr>
        <w:tc>
          <w:tcPr>
            <w:tcW w:w="2055" w:type="dxa"/>
          </w:tcPr>
          <w:p w14:paraId="054C7261" w14:textId="6728C655" w:rsidR="00BD1BD4" w:rsidRPr="007500BF" w:rsidRDefault="008B5AA4" w:rsidP="00593631">
            <w:pPr>
              <w:pStyle w:val="berschrift2"/>
            </w:pPr>
            <w:r>
              <w:t>4</w:t>
            </w:r>
            <w:r w:rsidR="005541D2">
              <w:t>.</w:t>
            </w:r>
            <w:r>
              <w:t>4</w:t>
            </w:r>
          </w:p>
        </w:tc>
        <w:tc>
          <w:tcPr>
            <w:tcW w:w="7315" w:type="dxa"/>
          </w:tcPr>
          <w:p w14:paraId="60CCAF08" w14:textId="77777777" w:rsidR="00BD1BD4" w:rsidRDefault="00BD1BD4" w:rsidP="00593631">
            <w:pPr>
              <w:pStyle w:val="berschrift2"/>
            </w:pPr>
            <w:r w:rsidRPr="007500BF">
              <w:t xml:space="preserve">Teilnahme an </w:t>
            </w:r>
            <w:r w:rsidRPr="00085EF1">
              <w:t>Besprechungen</w:t>
            </w:r>
          </w:p>
          <w:p w14:paraId="27639DCD" w14:textId="77777777" w:rsidR="00BD1BD4" w:rsidRPr="00EE35CB" w:rsidRDefault="00BD1BD4" w:rsidP="00593631">
            <w:pPr>
              <w:pStyle w:val="Textkrper"/>
              <w:rPr>
                <w:sz w:val="24"/>
              </w:rPr>
            </w:pPr>
            <w:r w:rsidRPr="005A4F4B">
              <w:t>Teilnahmen an Besprechungen</w:t>
            </w:r>
            <w:r>
              <w:t xml:space="preserve"> </w:t>
            </w:r>
            <w:r w:rsidRPr="00346BAF">
              <w:t>(darin enthalten sind An- und Abfahrten</w:t>
            </w:r>
            <w:r>
              <w:t>)</w:t>
            </w:r>
            <w:r w:rsidRPr="005A4F4B">
              <w:t xml:space="preserve"> sind vorab mit dem AG abzustimmen</w:t>
            </w:r>
            <w:r>
              <w:t>. Als Teilnahmenachweis an Besprechungen gilt ein Besprechungsprotokoll mit Teilnehmerliste.</w:t>
            </w:r>
          </w:p>
        </w:tc>
      </w:tr>
    </w:tbl>
    <w:p w14:paraId="40A6634E" w14:textId="18F0E650" w:rsidR="00877D88" w:rsidRDefault="00877D88" w:rsidP="0094369B"/>
    <w:sectPr w:rsidR="00877D88" w:rsidSect="0089554D">
      <w:headerReference w:type="default" r:id="rId8"/>
      <w:footerReference w:type="default" r:id="rId9"/>
      <w:pgSz w:w="11906" w:h="16838"/>
      <w:pgMar w:top="1418"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07069" w14:textId="77777777" w:rsidR="00D54A17" w:rsidRDefault="00D54A17" w:rsidP="0094369B">
      <w:pPr>
        <w:pStyle w:val="Kopfzeile"/>
      </w:pPr>
      <w:r>
        <w:separator/>
      </w:r>
    </w:p>
  </w:endnote>
  <w:endnote w:type="continuationSeparator" w:id="0">
    <w:p w14:paraId="645EB4E8" w14:textId="77777777" w:rsidR="00D54A17" w:rsidRDefault="00D54A17" w:rsidP="0094369B">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1E0" w:firstRow="1" w:lastRow="1" w:firstColumn="1" w:lastColumn="1" w:noHBand="0" w:noVBand="0"/>
    </w:tblPr>
    <w:tblGrid>
      <w:gridCol w:w="4619"/>
      <w:gridCol w:w="4735"/>
    </w:tblGrid>
    <w:tr w:rsidR="005923A2" w:rsidRPr="002B41D7" w14:paraId="68232262" w14:textId="77777777" w:rsidTr="00BA703E">
      <w:tc>
        <w:tcPr>
          <w:tcW w:w="4671" w:type="dxa"/>
          <w:tcBorders>
            <w:top w:val="single" w:sz="4" w:space="0" w:color="auto"/>
          </w:tcBorders>
          <w:vAlign w:val="center"/>
        </w:tcPr>
        <w:p w14:paraId="0C1C590B" w14:textId="280F0F7E" w:rsidR="005923A2" w:rsidRPr="002B41D7" w:rsidRDefault="005923A2" w:rsidP="00FD2D23">
          <w:pPr>
            <w:pStyle w:val="Kopfzeile"/>
          </w:pPr>
          <w:r>
            <w:t xml:space="preserve">Stand: </w:t>
          </w:r>
          <w:r w:rsidR="00D460C1">
            <w:t>12.01.2022</w:t>
          </w:r>
        </w:p>
      </w:tc>
      <w:tc>
        <w:tcPr>
          <w:tcW w:w="4797" w:type="dxa"/>
          <w:tcBorders>
            <w:top w:val="single" w:sz="4" w:space="0" w:color="auto"/>
          </w:tcBorders>
          <w:vAlign w:val="center"/>
        </w:tcPr>
        <w:p w14:paraId="3690B2AB" w14:textId="16A5BB90" w:rsidR="005923A2" w:rsidRPr="002B41D7" w:rsidRDefault="005923A2" w:rsidP="00BA703E">
          <w:pPr>
            <w:pStyle w:val="Kopfzeile"/>
            <w:jc w:val="right"/>
          </w:pPr>
          <w:r w:rsidRPr="002B41D7">
            <w:t xml:space="preserve">Seite </w:t>
          </w:r>
          <w:r w:rsidRPr="002B41D7">
            <w:rPr>
              <w:snapToGrid w:val="0"/>
            </w:rPr>
            <w:fldChar w:fldCharType="begin"/>
          </w:r>
          <w:r w:rsidRPr="002B41D7">
            <w:rPr>
              <w:snapToGrid w:val="0"/>
            </w:rPr>
            <w:instrText xml:space="preserve"> PAGE </w:instrText>
          </w:r>
          <w:r w:rsidRPr="002B41D7">
            <w:rPr>
              <w:snapToGrid w:val="0"/>
            </w:rPr>
            <w:fldChar w:fldCharType="separate"/>
          </w:r>
          <w:r w:rsidR="003506F8">
            <w:rPr>
              <w:noProof/>
              <w:snapToGrid w:val="0"/>
            </w:rPr>
            <w:t>1</w:t>
          </w:r>
          <w:r w:rsidRPr="002B41D7">
            <w:rPr>
              <w:snapToGrid w:val="0"/>
            </w:rPr>
            <w:fldChar w:fldCharType="end"/>
          </w:r>
        </w:p>
      </w:tc>
    </w:tr>
  </w:tbl>
  <w:p w14:paraId="26EB08C2" w14:textId="14772A44" w:rsidR="005923A2" w:rsidRDefault="005923A2" w:rsidP="00C524A3">
    <w:pPr>
      <w:pStyle w:val="Fuzeile"/>
      <w:tabs>
        <w:tab w:val="clear" w:pos="4536"/>
        <w:tab w:val="clear" w:pos="9072"/>
        <w:tab w:val="left" w:pos="17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82400" w14:textId="77777777" w:rsidR="00D54A17" w:rsidRDefault="00D54A17" w:rsidP="0094369B">
      <w:pPr>
        <w:pStyle w:val="Kopfzeile"/>
      </w:pPr>
      <w:r>
        <w:separator/>
      </w:r>
    </w:p>
  </w:footnote>
  <w:footnote w:type="continuationSeparator" w:id="0">
    <w:p w14:paraId="217959AC" w14:textId="77777777" w:rsidR="00D54A17" w:rsidRDefault="00D54A17" w:rsidP="0094369B">
      <w:pPr>
        <w:pStyle w:val="Kopfzeile"/>
      </w:pPr>
      <w:r>
        <w:continuationSeparator/>
      </w:r>
    </w:p>
  </w:footnote>
  <w:footnote w:id="1">
    <w:p w14:paraId="685E46E9" w14:textId="720D8351" w:rsidR="005923A2" w:rsidRPr="007B08AF" w:rsidRDefault="005923A2" w:rsidP="00BA1761">
      <w:pPr>
        <w:pStyle w:val="Funotentext"/>
      </w:pPr>
      <w:r>
        <w:rPr>
          <w:rStyle w:val="Funotenzeichen"/>
        </w:rPr>
        <w:footnoteRef/>
      </w:r>
      <w:r>
        <w:tab/>
      </w:r>
      <w:r w:rsidRPr="00A07FA3">
        <w:t>Aufgrund unterschiedlicher Organisationsstrukturen der BV der Länder wird die Liegenschaftsbestandsdokumentation entweder in der Leitstelle LISA oder in der Leitstelle Vermessung geführt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0106" w14:textId="67AAFAF1" w:rsidR="005923A2" w:rsidRPr="00A33934" w:rsidRDefault="005923A2" w:rsidP="00A33934">
    <w:pPr>
      <w:shd w:val="clear" w:color="000000" w:fill="auto"/>
      <w:tabs>
        <w:tab w:val="center" w:pos="4536"/>
        <w:tab w:val="right" w:pos="9072"/>
      </w:tabs>
      <w:spacing w:after="0"/>
      <w:rPr>
        <w:b/>
        <w:sz w:val="24"/>
        <w:szCs w:val="24"/>
      </w:rPr>
    </w:pPr>
    <w:r w:rsidRPr="00A33934">
      <w:rPr>
        <w:b/>
        <w:sz w:val="24"/>
        <w:szCs w:val="24"/>
      </w:rPr>
      <w:t xml:space="preserve">Musterleistungsbeschreibungen für </w:t>
    </w:r>
    <w:r>
      <w:rPr>
        <w:b/>
        <w:sz w:val="24"/>
        <w:szCs w:val="24"/>
      </w:rPr>
      <w:t>L</w:t>
    </w:r>
    <w:r w:rsidRPr="00A33934">
      <w:rPr>
        <w:b/>
        <w:sz w:val="24"/>
        <w:szCs w:val="24"/>
      </w:rPr>
      <w:t>eistungen</w:t>
    </w:r>
    <w:r>
      <w:rPr>
        <w:b/>
        <w:sz w:val="24"/>
        <w:szCs w:val="24"/>
      </w:rPr>
      <w:t xml:space="preserve"> der Gebäudebestandsvermessung</w:t>
    </w:r>
    <w:r w:rsidR="00083234">
      <w:rPr>
        <w:b/>
        <w:sz w:val="24"/>
        <w:szCs w:val="24"/>
      </w:rPr>
      <w:t xml:space="preserve"> </w:t>
    </w:r>
    <w:r w:rsidR="00083234" w:rsidRPr="00083234">
      <w:rPr>
        <w:b/>
        <w:sz w:val="24"/>
        <w:szCs w:val="24"/>
      </w:rPr>
      <w:t>gemäß den Anforderungen der BFR GBestand</w:t>
    </w:r>
  </w:p>
  <w:p w14:paraId="3C1442D8" w14:textId="3A4815A5" w:rsidR="005923A2" w:rsidRDefault="005923A2" w:rsidP="0094369B">
    <w:pPr>
      <w:pStyle w:val="Kopfzeile"/>
    </w:pPr>
    <w:r>
      <w:t>Teil B: Leistung - Langtext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96"/>
    <w:multiLevelType w:val="hybridMultilevel"/>
    <w:tmpl w:val="E20436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146694"/>
    <w:multiLevelType w:val="hybridMultilevel"/>
    <w:tmpl w:val="5AFA90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454C7B"/>
    <w:multiLevelType w:val="hybridMultilevel"/>
    <w:tmpl w:val="9C529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45213E"/>
    <w:multiLevelType w:val="hybridMultilevel"/>
    <w:tmpl w:val="EFDEDF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38668AD"/>
    <w:multiLevelType w:val="hybridMultilevel"/>
    <w:tmpl w:val="394ED6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6C033F1"/>
    <w:multiLevelType w:val="hybridMultilevel"/>
    <w:tmpl w:val="A18CE3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864708"/>
    <w:multiLevelType w:val="hybridMultilevel"/>
    <w:tmpl w:val="683430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DFF19F5"/>
    <w:multiLevelType w:val="hybridMultilevel"/>
    <w:tmpl w:val="9DD0A5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31E287E"/>
    <w:multiLevelType w:val="hybridMultilevel"/>
    <w:tmpl w:val="3970F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C50C4C"/>
    <w:multiLevelType w:val="hybridMultilevel"/>
    <w:tmpl w:val="F2FA2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F4E30"/>
    <w:multiLevelType w:val="hybridMultilevel"/>
    <w:tmpl w:val="A1FCF1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74D63D5"/>
    <w:multiLevelType w:val="hybridMultilevel"/>
    <w:tmpl w:val="658E8C50"/>
    <w:lvl w:ilvl="0" w:tplc="7E587960">
      <w:start w:val="1"/>
      <w:numFmt w:val="bullet"/>
      <w:lvlText w:val=""/>
      <w:lvlJc w:val="left"/>
      <w:pPr>
        <w:tabs>
          <w:tab w:val="num" w:pos="720"/>
        </w:tabs>
        <w:ind w:left="720" w:hanging="360"/>
      </w:pPr>
      <w:rPr>
        <w:rFonts w:ascii="Symbol" w:hAnsi="Symbol" w:hint="default"/>
      </w:rPr>
    </w:lvl>
    <w:lvl w:ilvl="1" w:tplc="58EE2552">
      <w:start w:val="1"/>
      <w:numFmt w:val="bullet"/>
      <w:pStyle w:val="Textkrpereinzug2"/>
      <w:lvlText w:val=""/>
      <w:lvlJc w:val="left"/>
      <w:pPr>
        <w:tabs>
          <w:tab w:val="num" w:pos="1440"/>
        </w:tabs>
        <w:ind w:left="1440" w:hanging="360"/>
      </w:pPr>
      <w:rPr>
        <w:rFonts w:ascii="Wingdings" w:hAnsi="Wingdings" w:hint="default"/>
      </w:rPr>
    </w:lvl>
    <w:lvl w:ilvl="2" w:tplc="DA30FAA2" w:tentative="1">
      <w:start w:val="1"/>
      <w:numFmt w:val="bullet"/>
      <w:lvlText w:val=""/>
      <w:lvlJc w:val="left"/>
      <w:pPr>
        <w:tabs>
          <w:tab w:val="num" w:pos="2160"/>
        </w:tabs>
        <w:ind w:left="2160" w:hanging="360"/>
      </w:pPr>
      <w:rPr>
        <w:rFonts w:ascii="Wingdings" w:hAnsi="Wingdings" w:hint="default"/>
      </w:rPr>
    </w:lvl>
    <w:lvl w:ilvl="3" w:tplc="E39EDEC6" w:tentative="1">
      <w:start w:val="1"/>
      <w:numFmt w:val="bullet"/>
      <w:lvlText w:val=""/>
      <w:lvlJc w:val="left"/>
      <w:pPr>
        <w:tabs>
          <w:tab w:val="num" w:pos="2880"/>
        </w:tabs>
        <w:ind w:left="2880" w:hanging="360"/>
      </w:pPr>
      <w:rPr>
        <w:rFonts w:ascii="Symbol" w:hAnsi="Symbol" w:hint="default"/>
      </w:rPr>
    </w:lvl>
    <w:lvl w:ilvl="4" w:tplc="085AB976" w:tentative="1">
      <w:start w:val="1"/>
      <w:numFmt w:val="bullet"/>
      <w:lvlText w:val="o"/>
      <w:lvlJc w:val="left"/>
      <w:pPr>
        <w:tabs>
          <w:tab w:val="num" w:pos="3600"/>
        </w:tabs>
        <w:ind w:left="3600" w:hanging="360"/>
      </w:pPr>
      <w:rPr>
        <w:rFonts w:ascii="Courier New" w:hAnsi="Courier New" w:hint="default"/>
      </w:rPr>
    </w:lvl>
    <w:lvl w:ilvl="5" w:tplc="8938B230" w:tentative="1">
      <w:start w:val="1"/>
      <w:numFmt w:val="bullet"/>
      <w:lvlText w:val=""/>
      <w:lvlJc w:val="left"/>
      <w:pPr>
        <w:tabs>
          <w:tab w:val="num" w:pos="4320"/>
        </w:tabs>
        <w:ind w:left="4320" w:hanging="360"/>
      </w:pPr>
      <w:rPr>
        <w:rFonts w:ascii="Wingdings" w:hAnsi="Wingdings" w:hint="default"/>
      </w:rPr>
    </w:lvl>
    <w:lvl w:ilvl="6" w:tplc="477CC6B2" w:tentative="1">
      <w:start w:val="1"/>
      <w:numFmt w:val="bullet"/>
      <w:lvlText w:val=""/>
      <w:lvlJc w:val="left"/>
      <w:pPr>
        <w:tabs>
          <w:tab w:val="num" w:pos="5040"/>
        </w:tabs>
        <w:ind w:left="5040" w:hanging="360"/>
      </w:pPr>
      <w:rPr>
        <w:rFonts w:ascii="Symbol" w:hAnsi="Symbol" w:hint="default"/>
      </w:rPr>
    </w:lvl>
    <w:lvl w:ilvl="7" w:tplc="3C04DDEE" w:tentative="1">
      <w:start w:val="1"/>
      <w:numFmt w:val="bullet"/>
      <w:lvlText w:val="o"/>
      <w:lvlJc w:val="left"/>
      <w:pPr>
        <w:tabs>
          <w:tab w:val="num" w:pos="5760"/>
        </w:tabs>
        <w:ind w:left="5760" w:hanging="360"/>
      </w:pPr>
      <w:rPr>
        <w:rFonts w:ascii="Courier New" w:hAnsi="Courier New" w:hint="default"/>
      </w:rPr>
    </w:lvl>
    <w:lvl w:ilvl="8" w:tplc="8BD4CE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C6269"/>
    <w:multiLevelType w:val="hybridMultilevel"/>
    <w:tmpl w:val="4C3A9F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AD202CA"/>
    <w:multiLevelType w:val="hybridMultilevel"/>
    <w:tmpl w:val="FD66C2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C37F3B"/>
    <w:multiLevelType w:val="hybridMultilevel"/>
    <w:tmpl w:val="9A36A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A2458E"/>
    <w:multiLevelType w:val="hybridMultilevel"/>
    <w:tmpl w:val="B3068F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057979"/>
    <w:multiLevelType w:val="hybridMultilevel"/>
    <w:tmpl w:val="F3360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937EAC"/>
    <w:multiLevelType w:val="hybridMultilevel"/>
    <w:tmpl w:val="8A9AA414"/>
    <w:lvl w:ilvl="0" w:tplc="21BA6234">
      <w:start w:val="1"/>
      <w:numFmt w:val="bullet"/>
      <w:pStyle w:val="L2-Punkt"/>
      <w:lvlText w:val=""/>
      <w:lvlJc w:val="left"/>
      <w:pPr>
        <w:tabs>
          <w:tab w:val="num" w:pos="1724"/>
        </w:tabs>
        <w:ind w:left="1985" w:hanging="26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B5237"/>
    <w:multiLevelType w:val="hybridMultilevel"/>
    <w:tmpl w:val="2DAA33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72442528">
      <w:numFmt w:val="bullet"/>
      <w:lvlText w:val="-"/>
      <w:lvlJc w:val="left"/>
      <w:pPr>
        <w:ind w:left="2160" w:hanging="360"/>
      </w:pPr>
      <w:rPr>
        <w:rFonts w:ascii="Arial" w:eastAsiaTheme="minorHAnsi"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AA2F87"/>
    <w:multiLevelType w:val="hybridMultilevel"/>
    <w:tmpl w:val="0408E8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0FA0AF1"/>
    <w:multiLevelType w:val="hybridMultilevel"/>
    <w:tmpl w:val="DEE81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2020FD9"/>
    <w:multiLevelType w:val="hybridMultilevel"/>
    <w:tmpl w:val="46768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123A7C"/>
    <w:multiLevelType w:val="hybridMultilevel"/>
    <w:tmpl w:val="51D82AE2"/>
    <w:lvl w:ilvl="0" w:tplc="63B8E966">
      <w:start w:val="1"/>
      <w:numFmt w:val="bullet"/>
      <w:pStyle w:val="L1-Punkt"/>
      <w:lvlText w:val=""/>
      <w:lvlJc w:val="left"/>
      <w:pPr>
        <w:tabs>
          <w:tab w:val="num" w:pos="720"/>
        </w:tabs>
        <w:ind w:left="1361"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20A00"/>
    <w:multiLevelType w:val="hybridMultilevel"/>
    <w:tmpl w:val="A7867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1F45352"/>
    <w:multiLevelType w:val="hybridMultilevel"/>
    <w:tmpl w:val="87B0D7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5487B45"/>
    <w:multiLevelType w:val="hybridMultilevel"/>
    <w:tmpl w:val="A02EA3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97E4737"/>
    <w:multiLevelType w:val="hybridMultilevel"/>
    <w:tmpl w:val="958823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A103EAC"/>
    <w:multiLevelType w:val="hybridMultilevel"/>
    <w:tmpl w:val="0BEEF7DC"/>
    <w:lvl w:ilvl="0" w:tplc="04070001">
      <w:start w:val="1"/>
      <w:numFmt w:val="bullet"/>
      <w:lvlText w:val=""/>
      <w:lvlJc w:val="left"/>
      <w:pPr>
        <w:ind w:left="360" w:hanging="360"/>
      </w:pPr>
      <w:rPr>
        <w:rFonts w:ascii="Symbol" w:hAnsi="Symbol" w:hint="default"/>
      </w:rPr>
    </w:lvl>
    <w:lvl w:ilvl="1" w:tplc="5A968710">
      <w:numFmt w:val="bullet"/>
      <w:lvlText w:val="•"/>
      <w:lvlJc w:val="left"/>
      <w:pPr>
        <w:ind w:left="1428" w:hanging="708"/>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0390EA8"/>
    <w:multiLevelType w:val="hybridMultilevel"/>
    <w:tmpl w:val="C5BEA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4D52A1"/>
    <w:multiLevelType w:val="hybridMultilevel"/>
    <w:tmpl w:val="89646CD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91A3B82"/>
    <w:multiLevelType w:val="hybridMultilevel"/>
    <w:tmpl w:val="5A2CE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C116827"/>
    <w:multiLevelType w:val="hybridMultilevel"/>
    <w:tmpl w:val="DC64A9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D265DAF"/>
    <w:multiLevelType w:val="hybridMultilevel"/>
    <w:tmpl w:val="C0BA37CC"/>
    <w:lvl w:ilvl="0" w:tplc="04070001">
      <w:start w:val="1"/>
      <w:numFmt w:val="bullet"/>
      <w:pStyle w:val="L1-Auswahl"/>
      <w:lvlText w:val=""/>
      <w:lvlJc w:val="left"/>
      <w:pPr>
        <w:tabs>
          <w:tab w:val="num" w:pos="1724"/>
        </w:tabs>
        <w:ind w:left="1721" w:hanging="360"/>
      </w:pPr>
      <w:rPr>
        <w:rFonts w:ascii="Wingdings" w:hAnsi="Wingdings" w:hint="default"/>
        <w:b w:val="0"/>
        <w:i w:val="0"/>
        <w:sz w:val="3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12CF9"/>
    <w:multiLevelType w:val="hybridMultilevel"/>
    <w:tmpl w:val="0D9A08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E8F0016"/>
    <w:multiLevelType w:val="hybridMultilevel"/>
    <w:tmpl w:val="46A6E3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9"/>
  </w:num>
  <w:num w:numId="2">
    <w:abstractNumId w:val="32"/>
  </w:num>
  <w:num w:numId="3">
    <w:abstractNumId w:val="22"/>
  </w:num>
  <w:num w:numId="4">
    <w:abstractNumId w:val="17"/>
  </w:num>
  <w:num w:numId="5">
    <w:abstractNumId w:val="11"/>
  </w:num>
  <w:num w:numId="6">
    <w:abstractNumId w:val="5"/>
  </w:num>
  <w:num w:numId="7">
    <w:abstractNumId w:val="14"/>
  </w:num>
  <w:num w:numId="8">
    <w:abstractNumId w:val="9"/>
  </w:num>
  <w:num w:numId="9">
    <w:abstractNumId w:val="27"/>
  </w:num>
  <w:num w:numId="10">
    <w:abstractNumId w:val="4"/>
  </w:num>
  <w:num w:numId="11">
    <w:abstractNumId w:val="1"/>
  </w:num>
  <w:num w:numId="12">
    <w:abstractNumId w:val="34"/>
  </w:num>
  <w:num w:numId="13">
    <w:abstractNumId w:val="6"/>
  </w:num>
  <w:num w:numId="14">
    <w:abstractNumId w:val="10"/>
  </w:num>
  <w:num w:numId="15">
    <w:abstractNumId w:val="8"/>
  </w:num>
  <w:num w:numId="16">
    <w:abstractNumId w:val="25"/>
  </w:num>
  <w:num w:numId="17">
    <w:abstractNumId w:val="26"/>
  </w:num>
  <w:num w:numId="18">
    <w:abstractNumId w:val="15"/>
  </w:num>
  <w:num w:numId="19">
    <w:abstractNumId w:val="30"/>
  </w:num>
  <w:num w:numId="20">
    <w:abstractNumId w:val="13"/>
  </w:num>
  <w:num w:numId="21">
    <w:abstractNumId w:val="24"/>
  </w:num>
  <w:num w:numId="22">
    <w:abstractNumId w:val="20"/>
  </w:num>
  <w:num w:numId="23">
    <w:abstractNumId w:val="31"/>
  </w:num>
  <w:num w:numId="24">
    <w:abstractNumId w:val="23"/>
  </w:num>
  <w:num w:numId="25">
    <w:abstractNumId w:val="3"/>
  </w:num>
  <w:num w:numId="26">
    <w:abstractNumId w:val="12"/>
  </w:num>
  <w:num w:numId="27">
    <w:abstractNumId w:val="0"/>
  </w:num>
  <w:num w:numId="28">
    <w:abstractNumId w:val="21"/>
  </w:num>
  <w:num w:numId="29">
    <w:abstractNumId w:val="33"/>
  </w:num>
  <w:num w:numId="30">
    <w:abstractNumId w:val="18"/>
  </w:num>
  <w:num w:numId="31">
    <w:abstractNumId w:val="28"/>
  </w:num>
  <w:num w:numId="32">
    <w:abstractNumId w:val="2"/>
  </w:num>
  <w:num w:numId="33">
    <w:abstractNumId w:val="19"/>
  </w:num>
  <w:num w:numId="34">
    <w:abstractNumId w:val="7"/>
  </w:num>
  <w:num w:numId="3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50"/>
    <w:rsid w:val="00005023"/>
    <w:rsid w:val="000106C4"/>
    <w:rsid w:val="00011C18"/>
    <w:rsid w:val="00011E57"/>
    <w:rsid w:val="00013E86"/>
    <w:rsid w:val="000154E0"/>
    <w:rsid w:val="00015EB5"/>
    <w:rsid w:val="00020D2F"/>
    <w:rsid w:val="000272BD"/>
    <w:rsid w:val="00027C3E"/>
    <w:rsid w:val="00027E76"/>
    <w:rsid w:val="00031828"/>
    <w:rsid w:val="00034705"/>
    <w:rsid w:val="00034F06"/>
    <w:rsid w:val="00035935"/>
    <w:rsid w:val="0003792B"/>
    <w:rsid w:val="00041A47"/>
    <w:rsid w:val="000449F6"/>
    <w:rsid w:val="00053CF3"/>
    <w:rsid w:val="00060238"/>
    <w:rsid w:val="0006056E"/>
    <w:rsid w:val="00062661"/>
    <w:rsid w:val="00062D8A"/>
    <w:rsid w:val="0006333E"/>
    <w:rsid w:val="000644C6"/>
    <w:rsid w:val="00066C4B"/>
    <w:rsid w:val="00072B54"/>
    <w:rsid w:val="00073D33"/>
    <w:rsid w:val="000748BA"/>
    <w:rsid w:val="000765A1"/>
    <w:rsid w:val="00076854"/>
    <w:rsid w:val="00077508"/>
    <w:rsid w:val="000807BB"/>
    <w:rsid w:val="000814DE"/>
    <w:rsid w:val="00083234"/>
    <w:rsid w:val="0008404F"/>
    <w:rsid w:val="00084378"/>
    <w:rsid w:val="00085EF1"/>
    <w:rsid w:val="00087055"/>
    <w:rsid w:val="00087528"/>
    <w:rsid w:val="00087F9F"/>
    <w:rsid w:val="00095ED1"/>
    <w:rsid w:val="000A60D4"/>
    <w:rsid w:val="000B25EA"/>
    <w:rsid w:val="000B3311"/>
    <w:rsid w:val="000B37F9"/>
    <w:rsid w:val="000C0298"/>
    <w:rsid w:val="000C2CF1"/>
    <w:rsid w:val="000C5F15"/>
    <w:rsid w:val="000C66C8"/>
    <w:rsid w:val="000C743B"/>
    <w:rsid w:val="000D117D"/>
    <w:rsid w:val="000D188E"/>
    <w:rsid w:val="000D2637"/>
    <w:rsid w:val="000E0AE4"/>
    <w:rsid w:val="000E6BC1"/>
    <w:rsid w:val="000F1B16"/>
    <w:rsid w:val="000F1B7C"/>
    <w:rsid w:val="000F33C4"/>
    <w:rsid w:val="000F66C4"/>
    <w:rsid w:val="000F7D62"/>
    <w:rsid w:val="001037E7"/>
    <w:rsid w:val="00104F12"/>
    <w:rsid w:val="00106E5D"/>
    <w:rsid w:val="001108A5"/>
    <w:rsid w:val="00111443"/>
    <w:rsid w:val="00117E55"/>
    <w:rsid w:val="001204F1"/>
    <w:rsid w:val="00121662"/>
    <w:rsid w:val="0012376A"/>
    <w:rsid w:val="00124C91"/>
    <w:rsid w:val="001303F2"/>
    <w:rsid w:val="00130F36"/>
    <w:rsid w:val="00132AC0"/>
    <w:rsid w:val="0013347B"/>
    <w:rsid w:val="00133744"/>
    <w:rsid w:val="00135CCB"/>
    <w:rsid w:val="0013695A"/>
    <w:rsid w:val="00136CC1"/>
    <w:rsid w:val="001372A3"/>
    <w:rsid w:val="001428D1"/>
    <w:rsid w:val="00143EC8"/>
    <w:rsid w:val="00144161"/>
    <w:rsid w:val="001468B2"/>
    <w:rsid w:val="00150A92"/>
    <w:rsid w:val="00154E6E"/>
    <w:rsid w:val="00155692"/>
    <w:rsid w:val="00157174"/>
    <w:rsid w:val="00157781"/>
    <w:rsid w:val="00163E61"/>
    <w:rsid w:val="00164785"/>
    <w:rsid w:val="00164C0B"/>
    <w:rsid w:val="00165BF2"/>
    <w:rsid w:val="0017008F"/>
    <w:rsid w:val="00171DFA"/>
    <w:rsid w:val="00172ED1"/>
    <w:rsid w:val="00173495"/>
    <w:rsid w:val="001740FA"/>
    <w:rsid w:val="001742A9"/>
    <w:rsid w:val="0017569C"/>
    <w:rsid w:val="00177379"/>
    <w:rsid w:val="00180E20"/>
    <w:rsid w:val="00182458"/>
    <w:rsid w:val="00183578"/>
    <w:rsid w:val="001854C9"/>
    <w:rsid w:val="00186205"/>
    <w:rsid w:val="001949BF"/>
    <w:rsid w:val="001955A7"/>
    <w:rsid w:val="00195CF4"/>
    <w:rsid w:val="001A0D79"/>
    <w:rsid w:val="001A0E0D"/>
    <w:rsid w:val="001A23C4"/>
    <w:rsid w:val="001A44E5"/>
    <w:rsid w:val="001A4A59"/>
    <w:rsid w:val="001B0216"/>
    <w:rsid w:val="001B2D9F"/>
    <w:rsid w:val="001B2EA2"/>
    <w:rsid w:val="001B3103"/>
    <w:rsid w:val="001B5368"/>
    <w:rsid w:val="001B6397"/>
    <w:rsid w:val="001C0A07"/>
    <w:rsid w:val="001C12B8"/>
    <w:rsid w:val="001C2CBC"/>
    <w:rsid w:val="001C392D"/>
    <w:rsid w:val="001C3D5F"/>
    <w:rsid w:val="001C535C"/>
    <w:rsid w:val="001C564C"/>
    <w:rsid w:val="001C5C71"/>
    <w:rsid w:val="001C77C6"/>
    <w:rsid w:val="001D164C"/>
    <w:rsid w:val="001D62C8"/>
    <w:rsid w:val="001D7A9F"/>
    <w:rsid w:val="001E0DBA"/>
    <w:rsid w:val="001E18CB"/>
    <w:rsid w:val="001E1C4C"/>
    <w:rsid w:val="001E4C34"/>
    <w:rsid w:val="001E6EDB"/>
    <w:rsid w:val="001F1DCE"/>
    <w:rsid w:val="002054DA"/>
    <w:rsid w:val="00220D3E"/>
    <w:rsid w:val="002226A4"/>
    <w:rsid w:val="002226F0"/>
    <w:rsid w:val="00222BBA"/>
    <w:rsid w:val="00224D0C"/>
    <w:rsid w:val="00225447"/>
    <w:rsid w:val="002259CA"/>
    <w:rsid w:val="00226007"/>
    <w:rsid w:val="00231B23"/>
    <w:rsid w:val="00232F47"/>
    <w:rsid w:val="00233D83"/>
    <w:rsid w:val="00235E11"/>
    <w:rsid w:val="00237E8D"/>
    <w:rsid w:val="00241048"/>
    <w:rsid w:val="00241CF2"/>
    <w:rsid w:val="00241EA1"/>
    <w:rsid w:val="00246277"/>
    <w:rsid w:val="002532EC"/>
    <w:rsid w:val="002563D8"/>
    <w:rsid w:val="00256580"/>
    <w:rsid w:val="002565C0"/>
    <w:rsid w:val="002575EE"/>
    <w:rsid w:val="002625A1"/>
    <w:rsid w:val="00266DED"/>
    <w:rsid w:val="00270ECA"/>
    <w:rsid w:val="0027622C"/>
    <w:rsid w:val="00281988"/>
    <w:rsid w:val="00282927"/>
    <w:rsid w:val="0028387E"/>
    <w:rsid w:val="00285C15"/>
    <w:rsid w:val="002860B3"/>
    <w:rsid w:val="00286556"/>
    <w:rsid w:val="00292A9A"/>
    <w:rsid w:val="00295C45"/>
    <w:rsid w:val="00296B68"/>
    <w:rsid w:val="002A1962"/>
    <w:rsid w:val="002A1F7A"/>
    <w:rsid w:val="002A3AB7"/>
    <w:rsid w:val="002A3D54"/>
    <w:rsid w:val="002B0177"/>
    <w:rsid w:val="002B41D7"/>
    <w:rsid w:val="002B5B44"/>
    <w:rsid w:val="002B6D7B"/>
    <w:rsid w:val="002C17BA"/>
    <w:rsid w:val="002C2045"/>
    <w:rsid w:val="002C2459"/>
    <w:rsid w:val="002D0556"/>
    <w:rsid w:val="002D15AA"/>
    <w:rsid w:val="002D280E"/>
    <w:rsid w:val="002D41BA"/>
    <w:rsid w:val="002D59A2"/>
    <w:rsid w:val="002D7D2F"/>
    <w:rsid w:val="002E04E2"/>
    <w:rsid w:val="002E1C14"/>
    <w:rsid w:val="002E61FA"/>
    <w:rsid w:val="002E7F09"/>
    <w:rsid w:val="002F5D39"/>
    <w:rsid w:val="00302393"/>
    <w:rsid w:val="00303CED"/>
    <w:rsid w:val="00304213"/>
    <w:rsid w:val="0030622A"/>
    <w:rsid w:val="00306CC7"/>
    <w:rsid w:val="00310F0E"/>
    <w:rsid w:val="00311738"/>
    <w:rsid w:val="00315673"/>
    <w:rsid w:val="0032022E"/>
    <w:rsid w:val="003209CB"/>
    <w:rsid w:val="003270DB"/>
    <w:rsid w:val="00330645"/>
    <w:rsid w:val="003343B2"/>
    <w:rsid w:val="00335315"/>
    <w:rsid w:val="0034124F"/>
    <w:rsid w:val="00341F70"/>
    <w:rsid w:val="00342623"/>
    <w:rsid w:val="00343AEA"/>
    <w:rsid w:val="00346BAF"/>
    <w:rsid w:val="003506F8"/>
    <w:rsid w:val="003525AC"/>
    <w:rsid w:val="00357E37"/>
    <w:rsid w:val="0036032E"/>
    <w:rsid w:val="003665DB"/>
    <w:rsid w:val="0037065F"/>
    <w:rsid w:val="003730FE"/>
    <w:rsid w:val="0037377E"/>
    <w:rsid w:val="003755DA"/>
    <w:rsid w:val="00375D6D"/>
    <w:rsid w:val="00376249"/>
    <w:rsid w:val="00382573"/>
    <w:rsid w:val="00382D65"/>
    <w:rsid w:val="0038388F"/>
    <w:rsid w:val="00383A0B"/>
    <w:rsid w:val="00384E7C"/>
    <w:rsid w:val="00386940"/>
    <w:rsid w:val="003878D8"/>
    <w:rsid w:val="00387ACE"/>
    <w:rsid w:val="003955CB"/>
    <w:rsid w:val="00395EA6"/>
    <w:rsid w:val="003A0D7E"/>
    <w:rsid w:val="003A2A58"/>
    <w:rsid w:val="003A5602"/>
    <w:rsid w:val="003A6ECE"/>
    <w:rsid w:val="003A774C"/>
    <w:rsid w:val="003B27DC"/>
    <w:rsid w:val="003B2B9D"/>
    <w:rsid w:val="003B61A9"/>
    <w:rsid w:val="003B62CD"/>
    <w:rsid w:val="003B6570"/>
    <w:rsid w:val="003B6754"/>
    <w:rsid w:val="003B704D"/>
    <w:rsid w:val="003C1C16"/>
    <w:rsid w:val="003C65AD"/>
    <w:rsid w:val="003C77EC"/>
    <w:rsid w:val="003D0293"/>
    <w:rsid w:val="003D079B"/>
    <w:rsid w:val="003D08A0"/>
    <w:rsid w:val="003D208B"/>
    <w:rsid w:val="003D31A1"/>
    <w:rsid w:val="003D521C"/>
    <w:rsid w:val="003D750D"/>
    <w:rsid w:val="003F3422"/>
    <w:rsid w:val="003F4EF5"/>
    <w:rsid w:val="00401FB4"/>
    <w:rsid w:val="004037D7"/>
    <w:rsid w:val="00405FF3"/>
    <w:rsid w:val="0041093B"/>
    <w:rsid w:val="0041288F"/>
    <w:rsid w:val="00416388"/>
    <w:rsid w:val="0041767E"/>
    <w:rsid w:val="00417911"/>
    <w:rsid w:val="00420477"/>
    <w:rsid w:val="004230D3"/>
    <w:rsid w:val="0042399B"/>
    <w:rsid w:val="004321FA"/>
    <w:rsid w:val="00432708"/>
    <w:rsid w:val="004342FE"/>
    <w:rsid w:val="00436595"/>
    <w:rsid w:val="00437F57"/>
    <w:rsid w:val="00446180"/>
    <w:rsid w:val="004467C2"/>
    <w:rsid w:val="00446EBD"/>
    <w:rsid w:val="0044765A"/>
    <w:rsid w:val="00454A05"/>
    <w:rsid w:val="00454C02"/>
    <w:rsid w:val="0045607D"/>
    <w:rsid w:val="00456793"/>
    <w:rsid w:val="0046028D"/>
    <w:rsid w:val="004612AB"/>
    <w:rsid w:val="00461851"/>
    <w:rsid w:val="00461D76"/>
    <w:rsid w:val="0046252E"/>
    <w:rsid w:val="0046339E"/>
    <w:rsid w:val="004635F9"/>
    <w:rsid w:val="00465D0D"/>
    <w:rsid w:val="0046601E"/>
    <w:rsid w:val="004661F4"/>
    <w:rsid w:val="004672A3"/>
    <w:rsid w:val="004672CC"/>
    <w:rsid w:val="004706F0"/>
    <w:rsid w:val="00472778"/>
    <w:rsid w:val="00473BD4"/>
    <w:rsid w:val="004750AF"/>
    <w:rsid w:val="00477870"/>
    <w:rsid w:val="0048059F"/>
    <w:rsid w:val="00481DFB"/>
    <w:rsid w:val="00483320"/>
    <w:rsid w:val="00483D88"/>
    <w:rsid w:val="00483E5C"/>
    <w:rsid w:val="00486D99"/>
    <w:rsid w:val="00487626"/>
    <w:rsid w:val="004938CC"/>
    <w:rsid w:val="00493C72"/>
    <w:rsid w:val="00496405"/>
    <w:rsid w:val="00496E78"/>
    <w:rsid w:val="004976B6"/>
    <w:rsid w:val="004A1D31"/>
    <w:rsid w:val="004A2216"/>
    <w:rsid w:val="004A4ABC"/>
    <w:rsid w:val="004B1ACD"/>
    <w:rsid w:val="004B3DFC"/>
    <w:rsid w:val="004B7213"/>
    <w:rsid w:val="004C10F5"/>
    <w:rsid w:val="004D0615"/>
    <w:rsid w:val="004D0E69"/>
    <w:rsid w:val="004D2B9F"/>
    <w:rsid w:val="004D7308"/>
    <w:rsid w:val="004E0913"/>
    <w:rsid w:val="004E276C"/>
    <w:rsid w:val="004E42A7"/>
    <w:rsid w:val="004E467C"/>
    <w:rsid w:val="004E52F5"/>
    <w:rsid w:val="004E72B5"/>
    <w:rsid w:val="004F1D22"/>
    <w:rsid w:val="004F2745"/>
    <w:rsid w:val="004F5A89"/>
    <w:rsid w:val="004F7FC1"/>
    <w:rsid w:val="00504239"/>
    <w:rsid w:val="005070BB"/>
    <w:rsid w:val="00510A6A"/>
    <w:rsid w:val="00512DDC"/>
    <w:rsid w:val="0051427A"/>
    <w:rsid w:val="00514926"/>
    <w:rsid w:val="0051700A"/>
    <w:rsid w:val="00520B12"/>
    <w:rsid w:val="00534D81"/>
    <w:rsid w:val="005358B7"/>
    <w:rsid w:val="0053722D"/>
    <w:rsid w:val="00542BEC"/>
    <w:rsid w:val="005430F3"/>
    <w:rsid w:val="00547022"/>
    <w:rsid w:val="0054738E"/>
    <w:rsid w:val="0055113A"/>
    <w:rsid w:val="00552E53"/>
    <w:rsid w:val="00553A0D"/>
    <w:rsid w:val="005541D2"/>
    <w:rsid w:val="005547B0"/>
    <w:rsid w:val="00556DF9"/>
    <w:rsid w:val="005634B3"/>
    <w:rsid w:val="0057056D"/>
    <w:rsid w:val="00571087"/>
    <w:rsid w:val="00575233"/>
    <w:rsid w:val="00577C4A"/>
    <w:rsid w:val="00577C92"/>
    <w:rsid w:val="00580012"/>
    <w:rsid w:val="005808A4"/>
    <w:rsid w:val="005813CC"/>
    <w:rsid w:val="00581579"/>
    <w:rsid w:val="00582CB6"/>
    <w:rsid w:val="00587DEC"/>
    <w:rsid w:val="005903DC"/>
    <w:rsid w:val="005923A2"/>
    <w:rsid w:val="005924F0"/>
    <w:rsid w:val="00593631"/>
    <w:rsid w:val="00597C9D"/>
    <w:rsid w:val="005A0650"/>
    <w:rsid w:val="005A07DD"/>
    <w:rsid w:val="005A2212"/>
    <w:rsid w:val="005A4937"/>
    <w:rsid w:val="005A4F4B"/>
    <w:rsid w:val="005B249A"/>
    <w:rsid w:val="005B3655"/>
    <w:rsid w:val="005B3695"/>
    <w:rsid w:val="005B527E"/>
    <w:rsid w:val="005B6EB8"/>
    <w:rsid w:val="005B75DD"/>
    <w:rsid w:val="005B7B64"/>
    <w:rsid w:val="005B7D6F"/>
    <w:rsid w:val="005C116E"/>
    <w:rsid w:val="005C1C57"/>
    <w:rsid w:val="005C3247"/>
    <w:rsid w:val="005C3B52"/>
    <w:rsid w:val="005C7137"/>
    <w:rsid w:val="005D715B"/>
    <w:rsid w:val="005D7DE9"/>
    <w:rsid w:val="005E2EFA"/>
    <w:rsid w:val="005E34F6"/>
    <w:rsid w:val="005E3D53"/>
    <w:rsid w:val="005E40DB"/>
    <w:rsid w:val="005E48C0"/>
    <w:rsid w:val="005E49AE"/>
    <w:rsid w:val="005E54E9"/>
    <w:rsid w:val="005E6665"/>
    <w:rsid w:val="005F0B9A"/>
    <w:rsid w:val="005F6C4F"/>
    <w:rsid w:val="006067A0"/>
    <w:rsid w:val="006067D5"/>
    <w:rsid w:val="00611E5A"/>
    <w:rsid w:val="00612730"/>
    <w:rsid w:val="00614068"/>
    <w:rsid w:val="00616FF2"/>
    <w:rsid w:val="006225C1"/>
    <w:rsid w:val="006228A7"/>
    <w:rsid w:val="00635D17"/>
    <w:rsid w:val="006376B0"/>
    <w:rsid w:val="00640305"/>
    <w:rsid w:val="0064347B"/>
    <w:rsid w:val="006447F7"/>
    <w:rsid w:val="00654714"/>
    <w:rsid w:val="00654F4F"/>
    <w:rsid w:val="00655914"/>
    <w:rsid w:val="00655E46"/>
    <w:rsid w:val="00661EE5"/>
    <w:rsid w:val="00663103"/>
    <w:rsid w:val="006646B4"/>
    <w:rsid w:val="00664D59"/>
    <w:rsid w:val="00665368"/>
    <w:rsid w:val="00670BD6"/>
    <w:rsid w:val="00670DB1"/>
    <w:rsid w:val="0067655D"/>
    <w:rsid w:val="00680BE2"/>
    <w:rsid w:val="00681EDC"/>
    <w:rsid w:val="006836C4"/>
    <w:rsid w:val="006837BB"/>
    <w:rsid w:val="00685CC2"/>
    <w:rsid w:val="0068604F"/>
    <w:rsid w:val="00686974"/>
    <w:rsid w:val="00691AB0"/>
    <w:rsid w:val="00692125"/>
    <w:rsid w:val="00694237"/>
    <w:rsid w:val="00694CDC"/>
    <w:rsid w:val="00695BF4"/>
    <w:rsid w:val="006967B4"/>
    <w:rsid w:val="0069778A"/>
    <w:rsid w:val="006A0374"/>
    <w:rsid w:val="006A2C1B"/>
    <w:rsid w:val="006B31AB"/>
    <w:rsid w:val="006B3D57"/>
    <w:rsid w:val="006B5AAB"/>
    <w:rsid w:val="006B6C91"/>
    <w:rsid w:val="006B7089"/>
    <w:rsid w:val="006C08E3"/>
    <w:rsid w:val="006C1235"/>
    <w:rsid w:val="006C18B7"/>
    <w:rsid w:val="006C76B1"/>
    <w:rsid w:val="006D36CC"/>
    <w:rsid w:val="006D5096"/>
    <w:rsid w:val="006D5FBE"/>
    <w:rsid w:val="006E156D"/>
    <w:rsid w:val="006E4425"/>
    <w:rsid w:val="006E644D"/>
    <w:rsid w:val="006F1AD8"/>
    <w:rsid w:val="006F3B9A"/>
    <w:rsid w:val="006F3DF2"/>
    <w:rsid w:val="006F6CB5"/>
    <w:rsid w:val="007007EE"/>
    <w:rsid w:val="00704BBA"/>
    <w:rsid w:val="00704EEE"/>
    <w:rsid w:val="0071499B"/>
    <w:rsid w:val="00716F22"/>
    <w:rsid w:val="00717067"/>
    <w:rsid w:val="007214FD"/>
    <w:rsid w:val="00722317"/>
    <w:rsid w:val="0072439F"/>
    <w:rsid w:val="00724EA4"/>
    <w:rsid w:val="00737BE6"/>
    <w:rsid w:val="007400B2"/>
    <w:rsid w:val="0074485A"/>
    <w:rsid w:val="007500BF"/>
    <w:rsid w:val="007504B8"/>
    <w:rsid w:val="00751C4C"/>
    <w:rsid w:val="00752A1F"/>
    <w:rsid w:val="00753149"/>
    <w:rsid w:val="0075317B"/>
    <w:rsid w:val="00753313"/>
    <w:rsid w:val="0075356E"/>
    <w:rsid w:val="00754C9D"/>
    <w:rsid w:val="00757153"/>
    <w:rsid w:val="00757707"/>
    <w:rsid w:val="00760183"/>
    <w:rsid w:val="00760B15"/>
    <w:rsid w:val="00762EB3"/>
    <w:rsid w:val="0076505B"/>
    <w:rsid w:val="007713BA"/>
    <w:rsid w:val="00777954"/>
    <w:rsid w:val="00790219"/>
    <w:rsid w:val="0079073E"/>
    <w:rsid w:val="0079099F"/>
    <w:rsid w:val="007916B8"/>
    <w:rsid w:val="0079237C"/>
    <w:rsid w:val="007936B1"/>
    <w:rsid w:val="00794CA3"/>
    <w:rsid w:val="007A02E6"/>
    <w:rsid w:val="007A1CF3"/>
    <w:rsid w:val="007A73BC"/>
    <w:rsid w:val="007B08AF"/>
    <w:rsid w:val="007B1A6A"/>
    <w:rsid w:val="007B3B6D"/>
    <w:rsid w:val="007B61E4"/>
    <w:rsid w:val="007B75E2"/>
    <w:rsid w:val="007D1442"/>
    <w:rsid w:val="007D384E"/>
    <w:rsid w:val="007D44D2"/>
    <w:rsid w:val="007D646C"/>
    <w:rsid w:val="007D6E7F"/>
    <w:rsid w:val="007E2120"/>
    <w:rsid w:val="007E4D54"/>
    <w:rsid w:val="007E6D60"/>
    <w:rsid w:val="007F215A"/>
    <w:rsid w:val="007F24FC"/>
    <w:rsid w:val="007F2548"/>
    <w:rsid w:val="007F2EA5"/>
    <w:rsid w:val="007F43EA"/>
    <w:rsid w:val="007F5CDF"/>
    <w:rsid w:val="00800261"/>
    <w:rsid w:val="00800CED"/>
    <w:rsid w:val="008026A3"/>
    <w:rsid w:val="0080403E"/>
    <w:rsid w:val="00807315"/>
    <w:rsid w:val="00813C48"/>
    <w:rsid w:val="008142A9"/>
    <w:rsid w:val="00816008"/>
    <w:rsid w:val="00817BFB"/>
    <w:rsid w:val="0082040C"/>
    <w:rsid w:val="00821D43"/>
    <w:rsid w:val="00823140"/>
    <w:rsid w:val="00823B07"/>
    <w:rsid w:val="00826042"/>
    <w:rsid w:val="00826CF3"/>
    <w:rsid w:val="008323DD"/>
    <w:rsid w:val="00834C79"/>
    <w:rsid w:val="0083664C"/>
    <w:rsid w:val="00840C71"/>
    <w:rsid w:val="00843E9E"/>
    <w:rsid w:val="00844271"/>
    <w:rsid w:val="00845E46"/>
    <w:rsid w:val="00846105"/>
    <w:rsid w:val="00846BAB"/>
    <w:rsid w:val="00847C92"/>
    <w:rsid w:val="0085266C"/>
    <w:rsid w:val="0085453D"/>
    <w:rsid w:val="008569AE"/>
    <w:rsid w:val="008612F0"/>
    <w:rsid w:val="00863171"/>
    <w:rsid w:val="008636AB"/>
    <w:rsid w:val="00864FF3"/>
    <w:rsid w:val="0087386A"/>
    <w:rsid w:val="00875AE0"/>
    <w:rsid w:val="008778EA"/>
    <w:rsid w:val="00877D88"/>
    <w:rsid w:val="0088257E"/>
    <w:rsid w:val="00882B4D"/>
    <w:rsid w:val="008873E1"/>
    <w:rsid w:val="00890E0D"/>
    <w:rsid w:val="0089554D"/>
    <w:rsid w:val="008956BD"/>
    <w:rsid w:val="00895D76"/>
    <w:rsid w:val="00897560"/>
    <w:rsid w:val="0089786B"/>
    <w:rsid w:val="00897A44"/>
    <w:rsid w:val="008A04C9"/>
    <w:rsid w:val="008A43DE"/>
    <w:rsid w:val="008B078D"/>
    <w:rsid w:val="008B112F"/>
    <w:rsid w:val="008B138F"/>
    <w:rsid w:val="008B1EF2"/>
    <w:rsid w:val="008B48ED"/>
    <w:rsid w:val="008B5AA4"/>
    <w:rsid w:val="008B69B7"/>
    <w:rsid w:val="008C043A"/>
    <w:rsid w:val="008C4F6D"/>
    <w:rsid w:val="008C6F79"/>
    <w:rsid w:val="008D2299"/>
    <w:rsid w:val="008D2424"/>
    <w:rsid w:val="008D36FF"/>
    <w:rsid w:val="008D468E"/>
    <w:rsid w:val="008E1B80"/>
    <w:rsid w:val="008E4FFA"/>
    <w:rsid w:val="008E79F7"/>
    <w:rsid w:val="008F3186"/>
    <w:rsid w:val="008F5DA6"/>
    <w:rsid w:val="009009B4"/>
    <w:rsid w:val="0090259D"/>
    <w:rsid w:val="0090443D"/>
    <w:rsid w:val="00904E6F"/>
    <w:rsid w:val="00905106"/>
    <w:rsid w:val="009074A1"/>
    <w:rsid w:val="00911CC6"/>
    <w:rsid w:val="009131A6"/>
    <w:rsid w:val="00915405"/>
    <w:rsid w:val="009166B1"/>
    <w:rsid w:val="0091671B"/>
    <w:rsid w:val="00921F76"/>
    <w:rsid w:val="009251F8"/>
    <w:rsid w:val="009255AB"/>
    <w:rsid w:val="0092659C"/>
    <w:rsid w:val="00930AFB"/>
    <w:rsid w:val="009315C9"/>
    <w:rsid w:val="009336D3"/>
    <w:rsid w:val="00933DC0"/>
    <w:rsid w:val="009345C3"/>
    <w:rsid w:val="00934E1E"/>
    <w:rsid w:val="00937889"/>
    <w:rsid w:val="009425FE"/>
    <w:rsid w:val="0094369B"/>
    <w:rsid w:val="00946472"/>
    <w:rsid w:val="00946B1C"/>
    <w:rsid w:val="00947183"/>
    <w:rsid w:val="00953C8A"/>
    <w:rsid w:val="00957B5E"/>
    <w:rsid w:val="00965B2E"/>
    <w:rsid w:val="00967C94"/>
    <w:rsid w:val="00970157"/>
    <w:rsid w:val="00971A29"/>
    <w:rsid w:val="00973680"/>
    <w:rsid w:val="009822C6"/>
    <w:rsid w:val="00983CF3"/>
    <w:rsid w:val="00983F5C"/>
    <w:rsid w:val="00985B24"/>
    <w:rsid w:val="00985D74"/>
    <w:rsid w:val="00986838"/>
    <w:rsid w:val="00987198"/>
    <w:rsid w:val="00990294"/>
    <w:rsid w:val="00990B32"/>
    <w:rsid w:val="009929D3"/>
    <w:rsid w:val="009A0A2D"/>
    <w:rsid w:val="009A140B"/>
    <w:rsid w:val="009A1846"/>
    <w:rsid w:val="009A2356"/>
    <w:rsid w:val="009A3489"/>
    <w:rsid w:val="009A4914"/>
    <w:rsid w:val="009A5C3A"/>
    <w:rsid w:val="009B11E6"/>
    <w:rsid w:val="009B127F"/>
    <w:rsid w:val="009B4D2E"/>
    <w:rsid w:val="009C27B1"/>
    <w:rsid w:val="009C52F7"/>
    <w:rsid w:val="009C590B"/>
    <w:rsid w:val="009D0CE2"/>
    <w:rsid w:val="009D2B61"/>
    <w:rsid w:val="009D2B81"/>
    <w:rsid w:val="009D465C"/>
    <w:rsid w:val="009D7268"/>
    <w:rsid w:val="009D7BA2"/>
    <w:rsid w:val="009E5E47"/>
    <w:rsid w:val="009E6094"/>
    <w:rsid w:val="009E6FDC"/>
    <w:rsid w:val="009F12F4"/>
    <w:rsid w:val="009F13EE"/>
    <w:rsid w:val="009F1765"/>
    <w:rsid w:val="009F28A3"/>
    <w:rsid w:val="009F3ABE"/>
    <w:rsid w:val="009F5ACC"/>
    <w:rsid w:val="009F7A40"/>
    <w:rsid w:val="00A036DE"/>
    <w:rsid w:val="00A05A3C"/>
    <w:rsid w:val="00A06464"/>
    <w:rsid w:val="00A07FA3"/>
    <w:rsid w:val="00A1045D"/>
    <w:rsid w:val="00A117A9"/>
    <w:rsid w:val="00A12397"/>
    <w:rsid w:val="00A15870"/>
    <w:rsid w:val="00A17B41"/>
    <w:rsid w:val="00A2154B"/>
    <w:rsid w:val="00A2175B"/>
    <w:rsid w:val="00A2216F"/>
    <w:rsid w:val="00A259DC"/>
    <w:rsid w:val="00A26753"/>
    <w:rsid w:val="00A26FB9"/>
    <w:rsid w:val="00A32729"/>
    <w:rsid w:val="00A33934"/>
    <w:rsid w:val="00A33F94"/>
    <w:rsid w:val="00A34BAE"/>
    <w:rsid w:val="00A358B3"/>
    <w:rsid w:val="00A36EB5"/>
    <w:rsid w:val="00A40B0A"/>
    <w:rsid w:val="00A41018"/>
    <w:rsid w:val="00A411DF"/>
    <w:rsid w:val="00A425B5"/>
    <w:rsid w:val="00A44EAE"/>
    <w:rsid w:val="00A50C80"/>
    <w:rsid w:val="00A5230D"/>
    <w:rsid w:val="00A525ED"/>
    <w:rsid w:val="00A54600"/>
    <w:rsid w:val="00A607A7"/>
    <w:rsid w:val="00A620C4"/>
    <w:rsid w:val="00A62594"/>
    <w:rsid w:val="00A65475"/>
    <w:rsid w:val="00A65FC6"/>
    <w:rsid w:val="00A665D0"/>
    <w:rsid w:val="00A674DF"/>
    <w:rsid w:val="00A67851"/>
    <w:rsid w:val="00A67DA5"/>
    <w:rsid w:val="00A75F80"/>
    <w:rsid w:val="00A820EE"/>
    <w:rsid w:val="00A8354F"/>
    <w:rsid w:val="00A87633"/>
    <w:rsid w:val="00A906BD"/>
    <w:rsid w:val="00A912E9"/>
    <w:rsid w:val="00A92E13"/>
    <w:rsid w:val="00A95D9C"/>
    <w:rsid w:val="00A96CAD"/>
    <w:rsid w:val="00AA01EB"/>
    <w:rsid w:val="00AA11AA"/>
    <w:rsid w:val="00AA2D6D"/>
    <w:rsid w:val="00AA6D1F"/>
    <w:rsid w:val="00AA78B9"/>
    <w:rsid w:val="00AB03F4"/>
    <w:rsid w:val="00AB0646"/>
    <w:rsid w:val="00AB1BC5"/>
    <w:rsid w:val="00AB38E0"/>
    <w:rsid w:val="00AB556A"/>
    <w:rsid w:val="00AC0202"/>
    <w:rsid w:val="00AC2790"/>
    <w:rsid w:val="00AC365E"/>
    <w:rsid w:val="00AC3E2E"/>
    <w:rsid w:val="00AC7DCD"/>
    <w:rsid w:val="00AD3C57"/>
    <w:rsid w:val="00AD4114"/>
    <w:rsid w:val="00AD7662"/>
    <w:rsid w:val="00AE2D37"/>
    <w:rsid w:val="00AE4EB5"/>
    <w:rsid w:val="00AF2ED5"/>
    <w:rsid w:val="00AF3B39"/>
    <w:rsid w:val="00B0151D"/>
    <w:rsid w:val="00B01A4B"/>
    <w:rsid w:val="00B02D21"/>
    <w:rsid w:val="00B04306"/>
    <w:rsid w:val="00B06B04"/>
    <w:rsid w:val="00B078FE"/>
    <w:rsid w:val="00B10153"/>
    <w:rsid w:val="00B1274E"/>
    <w:rsid w:val="00B1624F"/>
    <w:rsid w:val="00B17DA3"/>
    <w:rsid w:val="00B22ECE"/>
    <w:rsid w:val="00B24358"/>
    <w:rsid w:val="00B24F0A"/>
    <w:rsid w:val="00B27C4B"/>
    <w:rsid w:val="00B3535D"/>
    <w:rsid w:val="00B35AFB"/>
    <w:rsid w:val="00B37005"/>
    <w:rsid w:val="00B37542"/>
    <w:rsid w:val="00B400AD"/>
    <w:rsid w:val="00B41F2C"/>
    <w:rsid w:val="00B41F83"/>
    <w:rsid w:val="00B454EC"/>
    <w:rsid w:val="00B46ECA"/>
    <w:rsid w:val="00B501C3"/>
    <w:rsid w:val="00B51914"/>
    <w:rsid w:val="00B56AFF"/>
    <w:rsid w:val="00B6776D"/>
    <w:rsid w:val="00B72698"/>
    <w:rsid w:val="00B72725"/>
    <w:rsid w:val="00B73C55"/>
    <w:rsid w:val="00B74757"/>
    <w:rsid w:val="00B75E95"/>
    <w:rsid w:val="00B76D47"/>
    <w:rsid w:val="00B81482"/>
    <w:rsid w:val="00B835A7"/>
    <w:rsid w:val="00B8372E"/>
    <w:rsid w:val="00B843EE"/>
    <w:rsid w:val="00B85CC7"/>
    <w:rsid w:val="00B86227"/>
    <w:rsid w:val="00B86E2A"/>
    <w:rsid w:val="00B877B8"/>
    <w:rsid w:val="00B92469"/>
    <w:rsid w:val="00B92678"/>
    <w:rsid w:val="00B92D73"/>
    <w:rsid w:val="00BA1761"/>
    <w:rsid w:val="00BA28E9"/>
    <w:rsid w:val="00BA703E"/>
    <w:rsid w:val="00BA755D"/>
    <w:rsid w:val="00BA795E"/>
    <w:rsid w:val="00BB156C"/>
    <w:rsid w:val="00BB3553"/>
    <w:rsid w:val="00BB4547"/>
    <w:rsid w:val="00BB7B99"/>
    <w:rsid w:val="00BC50A6"/>
    <w:rsid w:val="00BC5FE2"/>
    <w:rsid w:val="00BC674C"/>
    <w:rsid w:val="00BC7402"/>
    <w:rsid w:val="00BD1BD4"/>
    <w:rsid w:val="00BD29B7"/>
    <w:rsid w:val="00BD5415"/>
    <w:rsid w:val="00BD78CA"/>
    <w:rsid w:val="00BD7EF8"/>
    <w:rsid w:val="00BE2AA1"/>
    <w:rsid w:val="00BE5675"/>
    <w:rsid w:val="00BF07CE"/>
    <w:rsid w:val="00BF3225"/>
    <w:rsid w:val="00BF7820"/>
    <w:rsid w:val="00C0465D"/>
    <w:rsid w:val="00C059D4"/>
    <w:rsid w:val="00C06663"/>
    <w:rsid w:val="00C159F2"/>
    <w:rsid w:val="00C16212"/>
    <w:rsid w:val="00C20A4E"/>
    <w:rsid w:val="00C21263"/>
    <w:rsid w:val="00C22664"/>
    <w:rsid w:val="00C23733"/>
    <w:rsid w:val="00C245EF"/>
    <w:rsid w:val="00C25D02"/>
    <w:rsid w:val="00C27469"/>
    <w:rsid w:val="00C337A3"/>
    <w:rsid w:val="00C34404"/>
    <w:rsid w:val="00C3655C"/>
    <w:rsid w:val="00C3720B"/>
    <w:rsid w:val="00C37D5A"/>
    <w:rsid w:val="00C43274"/>
    <w:rsid w:val="00C50419"/>
    <w:rsid w:val="00C50EE8"/>
    <w:rsid w:val="00C524A3"/>
    <w:rsid w:val="00C53263"/>
    <w:rsid w:val="00C55E11"/>
    <w:rsid w:val="00C67550"/>
    <w:rsid w:val="00C679E7"/>
    <w:rsid w:val="00C73448"/>
    <w:rsid w:val="00C76E91"/>
    <w:rsid w:val="00C77773"/>
    <w:rsid w:val="00C81AEF"/>
    <w:rsid w:val="00C85F56"/>
    <w:rsid w:val="00C86D4E"/>
    <w:rsid w:val="00C87FDB"/>
    <w:rsid w:val="00C90192"/>
    <w:rsid w:val="00C94787"/>
    <w:rsid w:val="00CA07CA"/>
    <w:rsid w:val="00CA39F1"/>
    <w:rsid w:val="00CA64FD"/>
    <w:rsid w:val="00CA75EC"/>
    <w:rsid w:val="00CB15BE"/>
    <w:rsid w:val="00CB3F63"/>
    <w:rsid w:val="00CB4556"/>
    <w:rsid w:val="00CB71E4"/>
    <w:rsid w:val="00CB77E8"/>
    <w:rsid w:val="00CC0C31"/>
    <w:rsid w:val="00CC12BE"/>
    <w:rsid w:val="00CC57C7"/>
    <w:rsid w:val="00CD000D"/>
    <w:rsid w:val="00CD0DB1"/>
    <w:rsid w:val="00CD12B5"/>
    <w:rsid w:val="00CD40A0"/>
    <w:rsid w:val="00CD6AB6"/>
    <w:rsid w:val="00CE1511"/>
    <w:rsid w:val="00CE1BFD"/>
    <w:rsid w:val="00CE3A7E"/>
    <w:rsid w:val="00CE45BC"/>
    <w:rsid w:val="00CE62A3"/>
    <w:rsid w:val="00CE72D1"/>
    <w:rsid w:val="00CE79C4"/>
    <w:rsid w:val="00CF39CD"/>
    <w:rsid w:val="00CF3AB2"/>
    <w:rsid w:val="00CF41FC"/>
    <w:rsid w:val="00CF51B8"/>
    <w:rsid w:val="00D000B8"/>
    <w:rsid w:val="00D02D37"/>
    <w:rsid w:val="00D04FB2"/>
    <w:rsid w:val="00D05C4B"/>
    <w:rsid w:val="00D06E1A"/>
    <w:rsid w:val="00D11E50"/>
    <w:rsid w:val="00D13BD3"/>
    <w:rsid w:val="00D145AE"/>
    <w:rsid w:val="00D15206"/>
    <w:rsid w:val="00D15619"/>
    <w:rsid w:val="00D17B72"/>
    <w:rsid w:val="00D17E09"/>
    <w:rsid w:val="00D20D30"/>
    <w:rsid w:val="00D21745"/>
    <w:rsid w:val="00D23E57"/>
    <w:rsid w:val="00D24449"/>
    <w:rsid w:val="00D247A5"/>
    <w:rsid w:val="00D24E51"/>
    <w:rsid w:val="00D278D7"/>
    <w:rsid w:val="00D40EFA"/>
    <w:rsid w:val="00D4543E"/>
    <w:rsid w:val="00D460C1"/>
    <w:rsid w:val="00D46823"/>
    <w:rsid w:val="00D513DC"/>
    <w:rsid w:val="00D54A17"/>
    <w:rsid w:val="00D54D41"/>
    <w:rsid w:val="00D55746"/>
    <w:rsid w:val="00D5622E"/>
    <w:rsid w:val="00D607E2"/>
    <w:rsid w:val="00D60F09"/>
    <w:rsid w:val="00D6440C"/>
    <w:rsid w:val="00D64F77"/>
    <w:rsid w:val="00D66B9B"/>
    <w:rsid w:val="00D721E9"/>
    <w:rsid w:val="00D752CD"/>
    <w:rsid w:val="00D75446"/>
    <w:rsid w:val="00D76171"/>
    <w:rsid w:val="00D77C1D"/>
    <w:rsid w:val="00D81959"/>
    <w:rsid w:val="00D84A33"/>
    <w:rsid w:val="00D9051C"/>
    <w:rsid w:val="00D91654"/>
    <w:rsid w:val="00D935B9"/>
    <w:rsid w:val="00D947DB"/>
    <w:rsid w:val="00D970F0"/>
    <w:rsid w:val="00D97EDD"/>
    <w:rsid w:val="00D97F36"/>
    <w:rsid w:val="00DA35F6"/>
    <w:rsid w:val="00DA4F90"/>
    <w:rsid w:val="00DA5480"/>
    <w:rsid w:val="00DA7386"/>
    <w:rsid w:val="00DB0090"/>
    <w:rsid w:val="00DB0512"/>
    <w:rsid w:val="00DB066B"/>
    <w:rsid w:val="00DB2EB2"/>
    <w:rsid w:val="00DB3EB2"/>
    <w:rsid w:val="00DB60D3"/>
    <w:rsid w:val="00DC001D"/>
    <w:rsid w:val="00DC1956"/>
    <w:rsid w:val="00DC3E52"/>
    <w:rsid w:val="00DC5021"/>
    <w:rsid w:val="00DC69DB"/>
    <w:rsid w:val="00DD0BBC"/>
    <w:rsid w:val="00DD12BA"/>
    <w:rsid w:val="00DD4277"/>
    <w:rsid w:val="00DD7CF1"/>
    <w:rsid w:val="00DD7DCF"/>
    <w:rsid w:val="00DD7E1F"/>
    <w:rsid w:val="00DE5421"/>
    <w:rsid w:val="00DE57A8"/>
    <w:rsid w:val="00DE5DA0"/>
    <w:rsid w:val="00DE7A36"/>
    <w:rsid w:val="00DF134D"/>
    <w:rsid w:val="00DF227C"/>
    <w:rsid w:val="00DF584F"/>
    <w:rsid w:val="00E029A0"/>
    <w:rsid w:val="00E052E8"/>
    <w:rsid w:val="00E07BDD"/>
    <w:rsid w:val="00E11726"/>
    <w:rsid w:val="00E11D24"/>
    <w:rsid w:val="00E16E20"/>
    <w:rsid w:val="00E21497"/>
    <w:rsid w:val="00E218BD"/>
    <w:rsid w:val="00E21C52"/>
    <w:rsid w:val="00E21E8C"/>
    <w:rsid w:val="00E22859"/>
    <w:rsid w:val="00E22ED6"/>
    <w:rsid w:val="00E26A8A"/>
    <w:rsid w:val="00E2725B"/>
    <w:rsid w:val="00E27CC5"/>
    <w:rsid w:val="00E30A2F"/>
    <w:rsid w:val="00E31739"/>
    <w:rsid w:val="00E33576"/>
    <w:rsid w:val="00E34186"/>
    <w:rsid w:val="00E3578D"/>
    <w:rsid w:val="00E42D53"/>
    <w:rsid w:val="00E44C2F"/>
    <w:rsid w:val="00E44F8C"/>
    <w:rsid w:val="00E4525B"/>
    <w:rsid w:val="00E50066"/>
    <w:rsid w:val="00E52FC0"/>
    <w:rsid w:val="00E60AA1"/>
    <w:rsid w:val="00E6428A"/>
    <w:rsid w:val="00E6529A"/>
    <w:rsid w:val="00E656F1"/>
    <w:rsid w:val="00E71804"/>
    <w:rsid w:val="00E727DC"/>
    <w:rsid w:val="00E73515"/>
    <w:rsid w:val="00E738F9"/>
    <w:rsid w:val="00E80A3A"/>
    <w:rsid w:val="00E82ABC"/>
    <w:rsid w:val="00E82E35"/>
    <w:rsid w:val="00E90478"/>
    <w:rsid w:val="00E93283"/>
    <w:rsid w:val="00E93625"/>
    <w:rsid w:val="00E93C1D"/>
    <w:rsid w:val="00E956D5"/>
    <w:rsid w:val="00E95891"/>
    <w:rsid w:val="00E9752D"/>
    <w:rsid w:val="00E97EC5"/>
    <w:rsid w:val="00EA2951"/>
    <w:rsid w:val="00EA44FB"/>
    <w:rsid w:val="00EA4607"/>
    <w:rsid w:val="00EA692F"/>
    <w:rsid w:val="00EA6C45"/>
    <w:rsid w:val="00EA7E0A"/>
    <w:rsid w:val="00EB0179"/>
    <w:rsid w:val="00EB0CE7"/>
    <w:rsid w:val="00EB1024"/>
    <w:rsid w:val="00EB1D1C"/>
    <w:rsid w:val="00EB396B"/>
    <w:rsid w:val="00EB5451"/>
    <w:rsid w:val="00EC1200"/>
    <w:rsid w:val="00EC1BA4"/>
    <w:rsid w:val="00ED0F3A"/>
    <w:rsid w:val="00ED2B97"/>
    <w:rsid w:val="00ED5AF0"/>
    <w:rsid w:val="00ED64B0"/>
    <w:rsid w:val="00ED7D08"/>
    <w:rsid w:val="00EE1787"/>
    <w:rsid w:val="00EE2049"/>
    <w:rsid w:val="00EE2137"/>
    <w:rsid w:val="00EE35CB"/>
    <w:rsid w:val="00EE440C"/>
    <w:rsid w:val="00EF262F"/>
    <w:rsid w:val="00EF36CE"/>
    <w:rsid w:val="00EF6387"/>
    <w:rsid w:val="00EF7F74"/>
    <w:rsid w:val="00F0041F"/>
    <w:rsid w:val="00F04AC9"/>
    <w:rsid w:val="00F10786"/>
    <w:rsid w:val="00F11BB7"/>
    <w:rsid w:val="00F13857"/>
    <w:rsid w:val="00F26DCE"/>
    <w:rsid w:val="00F279B7"/>
    <w:rsid w:val="00F328ED"/>
    <w:rsid w:val="00F33D7F"/>
    <w:rsid w:val="00F36858"/>
    <w:rsid w:val="00F44442"/>
    <w:rsid w:val="00F46897"/>
    <w:rsid w:val="00F52B57"/>
    <w:rsid w:val="00F52E1E"/>
    <w:rsid w:val="00F56F4E"/>
    <w:rsid w:val="00F6081D"/>
    <w:rsid w:val="00F60C71"/>
    <w:rsid w:val="00F61618"/>
    <w:rsid w:val="00F61BBD"/>
    <w:rsid w:val="00F645D8"/>
    <w:rsid w:val="00F6611A"/>
    <w:rsid w:val="00F7046D"/>
    <w:rsid w:val="00F71726"/>
    <w:rsid w:val="00F733D8"/>
    <w:rsid w:val="00F768D9"/>
    <w:rsid w:val="00F804D6"/>
    <w:rsid w:val="00F81FFD"/>
    <w:rsid w:val="00F85152"/>
    <w:rsid w:val="00F87581"/>
    <w:rsid w:val="00F87E5D"/>
    <w:rsid w:val="00F9092A"/>
    <w:rsid w:val="00F916DE"/>
    <w:rsid w:val="00F91B74"/>
    <w:rsid w:val="00F91E8D"/>
    <w:rsid w:val="00FA0D81"/>
    <w:rsid w:val="00FA29BB"/>
    <w:rsid w:val="00FA432C"/>
    <w:rsid w:val="00FA4B16"/>
    <w:rsid w:val="00FA69DF"/>
    <w:rsid w:val="00FA79B5"/>
    <w:rsid w:val="00FB3799"/>
    <w:rsid w:val="00FB4ED2"/>
    <w:rsid w:val="00FB6F55"/>
    <w:rsid w:val="00FB749B"/>
    <w:rsid w:val="00FC0F8A"/>
    <w:rsid w:val="00FC2B9C"/>
    <w:rsid w:val="00FC44F7"/>
    <w:rsid w:val="00FC68E8"/>
    <w:rsid w:val="00FC6917"/>
    <w:rsid w:val="00FC78B6"/>
    <w:rsid w:val="00FC7B5E"/>
    <w:rsid w:val="00FD1F6D"/>
    <w:rsid w:val="00FD2D23"/>
    <w:rsid w:val="00FD3BC7"/>
    <w:rsid w:val="00FD59A2"/>
    <w:rsid w:val="00FD6E53"/>
    <w:rsid w:val="00FE1519"/>
    <w:rsid w:val="00FE214F"/>
    <w:rsid w:val="00FE333B"/>
    <w:rsid w:val="00FF084C"/>
    <w:rsid w:val="00FF281E"/>
    <w:rsid w:val="00FF5EB8"/>
    <w:rsid w:val="00FF64F3"/>
    <w:rsid w:val="00FF6BB8"/>
    <w:rsid w:val="00FF6C84"/>
    <w:rsid w:val="00FF7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31862"/>
  <w14:defaultImageDpi w14:val="96"/>
  <w15:docId w15:val="{37F0D134-1BA1-4EBA-8075-3AE7DD4C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369B"/>
    <w:pPr>
      <w:spacing w:after="120" w:line="240" w:lineRule="auto"/>
    </w:pPr>
    <w:rPr>
      <w:rFonts w:ascii="Arial" w:hAnsi="Arial" w:cs="Arial"/>
      <w:sz w:val="20"/>
      <w:szCs w:val="20"/>
    </w:rPr>
  </w:style>
  <w:style w:type="paragraph" w:styleId="berschrift1">
    <w:name w:val="heading 1"/>
    <w:basedOn w:val="Standard"/>
    <w:next w:val="Standard"/>
    <w:link w:val="berschrift1Zchn"/>
    <w:uiPriority w:val="99"/>
    <w:qFormat/>
    <w:rsid w:val="003D08A0"/>
    <w:pPr>
      <w:keepNext/>
      <w:spacing w:before="60" w:after="60"/>
      <w:outlineLvl w:val="0"/>
    </w:pPr>
    <w:rPr>
      <w:b/>
      <w:kern w:val="28"/>
      <w:sz w:val="28"/>
    </w:rPr>
  </w:style>
  <w:style w:type="paragraph" w:styleId="berschrift2">
    <w:name w:val="heading 2"/>
    <w:basedOn w:val="Standard"/>
    <w:next w:val="Standard"/>
    <w:link w:val="berschrift2Zchn"/>
    <w:uiPriority w:val="99"/>
    <w:qFormat/>
    <w:rsid w:val="00BD1BD4"/>
    <w:pPr>
      <w:outlineLvl w:val="1"/>
    </w:pPr>
    <w:rPr>
      <w:b/>
      <w:sz w:val="24"/>
    </w:rPr>
  </w:style>
  <w:style w:type="paragraph" w:styleId="berschrift3">
    <w:name w:val="heading 3"/>
    <w:basedOn w:val="Standard"/>
    <w:next w:val="Standard"/>
    <w:link w:val="berschrift3Zchn"/>
    <w:uiPriority w:val="99"/>
    <w:qFormat/>
    <w:rsid w:val="007A02E6"/>
    <w:pPr>
      <w:widowControl w:val="0"/>
      <w:outlineLvl w:val="2"/>
    </w:pPr>
    <w:rPr>
      <w:b/>
    </w:rPr>
  </w:style>
  <w:style w:type="paragraph" w:styleId="berschrift4">
    <w:name w:val="heading 4"/>
    <w:basedOn w:val="Standard"/>
    <w:next w:val="Textkrper"/>
    <w:link w:val="berschrift4Zchn"/>
    <w:uiPriority w:val="99"/>
    <w:qFormat/>
    <w:rsid w:val="00E6529A"/>
    <w:pPr>
      <w:keepNext/>
      <w:tabs>
        <w:tab w:val="num" w:pos="680"/>
        <w:tab w:val="left" w:pos="709"/>
      </w:tabs>
      <w:ind w:left="680" w:hanging="680"/>
      <w:outlineLvl w:val="3"/>
    </w:pPr>
    <w:rPr>
      <w:b/>
    </w:rPr>
  </w:style>
  <w:style w:type="paragraph" w:styleId="berschrift5">
    <w:name w:val="heading 5"/>
    <w:basedOn w:val="Standard"/>
    <w:next w:val="Standard"/>
    <w:link w:val="berschrift5Zchn"/>
    <w:uiPriority w:val="99"/>
    <w:qFormat/>
    <w:rsid w:val="00E6529A"/>
    <w:pPr>
      <w:keepNext/>
      <w:tabs>
        <w:tab w:val="num" w:pos="851"/>
      </w:tabs>
      <w:ind w:left="851" w:hanging="851"/>
      <w:outlineLvl w:val="4"/>
    </w:pPr>
    <w:rPr>
      <w:b/>
    </w:rPr>
  </w:style>
  <w:style w:type="paragraph" w:styleId="berschrift6">
    <w:name w:val="heading 6"/>
    <w:basedOn w:val="Standard"/>
    <w:next w:val="Standard"/>
    <w:link w:val="berschrift6Zchn"/>
    <w:uiPriority w:val="99"/>
    <w:qFormat/>
    <w:rsid w:val="00E6529A"/>
    <w:pPr>
      <w:keepNext/>
      <w:tabs>
        <w:tab w:val="num" w:pos="1152"/>
      </w:tabs>
      <w:ind w:left="1152" w:hanging="1152"/>
      <w:outlineLvl w:val="5"/>
    </w:pPr>
    <w:rPr>
      <w:b/>
    </w:rPr>
  </w:style>
  <w:style w:type="paragraph" w:styleId="berschrift7">
    <w:name w:val="heading 7"/>
    <w:basedOn w:val="Standard"/>
    <w:next w:val="Standard"/>
    <w:link w:val="berschrift7Zchn"/>
    <w:uiPriority w:val="99"/>
    <w:qFormat/>
    <w:rsid w:val="00E6529A"/>
    <w:pPr>
      <w:tabs>
        <w:tab w:val="num" w:pos="1296"/>
      </w:tabs>
      <w:spacing w:before="240" w:after="60"/>
      <w:ind w:left="1296" w:hanging="1296"/>
      <w:outlineLvl w:val="6"/>
    </w:pPr>
    <w:rPr>
      <w:szCs w:val="24"/>
    </w:rPr>
  </w:style>
  <w:style w:type="paragraph" w:styleId="berschrift8">
    <w:name w:val="heading 8"/>
    <w:basedOn w:val="Standard"/>
    <w:next w:val="Standard"/>
    <w:link w:val="berschrift8Zchn"/>
    <w:uiPriority w:val="99"/>
    <w:qFormat/>
    <w:rsid w:val="00E6529A"/>
    <w:pPr>
      <w:tabs>
        <w:tab w:val="num" w:pos="1440"/>
      </w:tabs>
      <w:spacing w:before="240" w:after="60"/>
      <w:ind w:left="1440" w:hanging="1440"/>
      <w:outlineLvl w:val="7"/>
    </w:pPr>
    <w:rPr>
      <w:i/>
      <w:iCs/>
      <w:szCs w:val="24"/>
    </w:rPr>
  </w:style>
  <w:style w:type="paragraph" w:styleId="berschrift9">
    <w:name w:val="heading 9"/>
    <w:basedOn w:val="Standard"/>
    <w:next w:val="Standard"/>
    <w:link w:val="berschrift9Zchn"/>
    <w:uiPriority w:val="99"/>
    <w:qFormat/>
    <w:rsid w:val="00E6529A"/>
    <w:pPr>
      <w:tabs>
        <w:tab w:val="num" w:pos="1584"/>
      </w:tabs>
      <w:spacing w:before="240" w:after="60"/>
      <w:ind w:left="1584" w:hanging="1584"/>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14926"/>
    <w:rPr>
      <w:rFonts w:ascii="Arial" w:hAnsi="Arial" w:cs="Times New Roman"/>
      <w:b/>
      <w:kern w:val="28"/>
      <w:sz w:val="28"/>
      <w:lang w:val="de-DE" w:eastAsia="de-DE" w:bidi="ar-SA"/>
    </w:rPr>
  </w:style>
  <w:style w:type="character" w:customStyle="1" w:styleId="berschrift2Zchn">
    <w:name w:val="Überschrift 2 Zchn"/>
    <w:basedOn w:val="Absatz-Standardschriftart"/>
    <w:link w:val="berschrift2"/>
    <w:uiPriority w:val="99"/>
    <w:locked/>
    <w:rsid w:val="00BD1BD4"/>
    <w:rPr>
      <w:rFonts w:ascii="Arial" w:hAnsi="Arial" w:cs="Arial"/>
      <w:b/>
      <w:sz w:val="24"/>
      <w:szCs w:val="20"/>
    </w:rPr>
  </w:style>
  <w:style w:type="character" w:customStyle="1" w:styleId="berschrift3Zchn">
    <w:name w:val="Überschrift 3 Zchn"/>
    <w:basedOn w:val="Absatz-Standardschriftart"/>
    <w:link w:val="berschrift3"/>
    <w:uiPriority w:val="99"/>
    <w:locked/>
    <w:rsid w:val="007A02E6"/>
    <w:rPr>
      <w:rFonts w:ascii="Arial" w:hAnsi="Arial" w:cs="Times New Roman"/>
      <w:b/>
      <w:lang w:val="de-DE" w:eastAsia="de-DE" w:bidi="ar-SA"/>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sz w:val="22"/>
      <w:szCs w:val="22"/>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sz w:val="22"/>
      <w:szCs w:val="22"/>
    </w:rPr>
  </w:style>
  <w:style w:type="paragraph" w:styleId="Kopfzeile">
    <w:name w:val="header"/>
    <w:basedOn w:val="Standard"/>
    <w:link w:val="KopfzeileZchn"/>
    <w:uiPriority w:val="99"/>
    <w:rsid w:val="00C67550"/>
    <w:pPr>
      <w:tabs>
        <w:tab w:val="center" w:pos="4536"/>
        <w:tab w:val="right" w:pos="9072"/>
      </w:tabs>
    </w:pPr>
  </w:style>
  <w:style w:type="character" w:customStyle="1" w:styleId="KopfzeileZchn">
    <w:name w:val="Kopfzeile Zchn"/>
    <w:basedOn w:val="Absatz-Standardschriftart"/>
    <w:link w:val="Kopfzeile"/>
    <w:uiPriority w:val="99"/>
    <w:locked/>
    <w:rsid w:val="00FF6BB8"/>
    <w:rPr>
      <w:rFonts w:ascii="Arial" w:hAnsi="Arial" w:cs="Times New Roman"/>
      <w:sz w:val="24"/>
      <w:lang w:val="de-DE" w:eastAsia="de-DE" w:bidi="ar-SA"/>
    </w:rPr>
  </w:style>
  <w:style w:type="paragraph" w:styleId="Fuzeile">
    <w:name w:val="footer"/>
    <w:basedOn w:val="Standard"/>
    <w:link w:val="FuzeileZchn"/>
    <w:uiPriority w:val="99"/>
    <w:rsid w:val="00C67550"/>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rPr>
  </w:style>
  <w:style w:type="character" w:styleId="Seitenzahl">
    <w:name w:val="page number"/>
    <w:basedOn w:val="Absatz-Standardschriftart"/>
    <w:uiPriority w:val="99"/>
    <w:rsid w:val="00C67550"/>
    <w:rPr>
      <w:rFonts w:cs="Times New Roman"/>
    </w:rPr>
  </w:style>
  <w:style w:type="paragraph" w:styleId="Textkrper">
    <w:name w:val="Body Text"/>
    <w:basedOn w:val="Standard"/>
    <w:link w:val="TextkrperZchn"/>
    <w:uiPriority w:val="99"/>
    <w:rsid w:val="003D08A0"/>
  </w:style>
  <w:style w:type="character" w:customStyle="1" w:styleId="TextkrperZchn">
    <w:name w:val="Textkörper Zchn"/>
    <w:basedOn w:val="Absatz-Standardschriftart"/>
    <w:link w:val="Textkrper"/>
    <w:uiPriority w:val="99"/>
    <w:locked/>
    <w:rsid w:val="00310F0E"/>
    <w:rPr>
      <w:rFonts w:ascii="Arial" w:hAnsi="Arial" w:cs="Arial"/>
      <w:lang w:val="de-DE" w:eastAsia="de-DE" w:bidi="ar-SA"/>
    </w:rPr>
  </w:style>
  <w:style w:type="paragraph" w:customStyle="1" w:styleId="berschrift4LV">
    <w:name w:val="Überschrift 4 LV"/>
    <w:basedOn w:val="berschrift4"/>
    <w:uiPriority w:val="99"/>
    <w:rsid w:val="00E6529A"/>
    <w:pPr>
      <w:numPr>
        <w:ilvl w:val="3"/>
      </w:numPr>
      <w:tabs>
        <w:tab w:val="num" w:pos="680"/>
      </w:tabs>
      <w:spacing w:before="240" w:after="60"/>
      <w:ind w:left="680" w:hanging="680"/>
    </w:pPr>
    <w:rPr>
      <w:bCs/>
      <w:sz w:val="22"/>
    </w:rPr>
  </w:style>
  <w:style w:type="paragraph" w:styleId="Sprechblasentext">
    <w:name w:val="Balloon Text"/>
    <w:basedOn w:val="Standard"/>
    <w:link w:val="SprechblasentextZchn"/>
    <w:uiPriority w:val="99"/>
    <w:rsid w:val="000D2637"/>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0D2637"/>
    <w:rPr>
      <w:rFonts w:ascii="Tahoma" w:hAnsi="Tahoma" w:cs="Tahoma"/>
      <w:sz w:val="16"/>
      <w:szCs w:val="16"/>
    </w:rPr>
  </w:style>
  <w:style w:type="paragraph" w:customStyle="1" w:styleId="Textkrpereinzug">
    <w:name w:val="Textkörpereinzug"/>
    <w:basedOn w:val="Standard"/>
    <w:uiPriority w:val="99"/>
    <w:rsid w:val="000D188E"/>
    <w:pPr>
      <w:jc w:val="both"/>
    </w:pPr>
  </w:style>
  <w:style w:type="paragraph" w:customStyle="1" w:styleId="Tabellenkopf">
    <w:name w:val="Tabellenkopf"/>
    <w:basedOn w:val="berschrift2"/>
    <w:uiPriority w:val="99"/>
    <w:rsid w:val="003D08A0"/>
    <w:pPr>
      <w:spacing w:after="0"/>
    </w:pPr>
  </w:style>
  <w:style w:type="paragraph" w:customStyle="1" w:styleId="L1-Auswahl">
    <w:name w:val="L1-Auswahl"/>
    <w:basedOn w:val="Standard"/>
    <w:uiPriority w:val="99"/>
    <w:rsid w:val="00AA01EB"/>
    <w:pPr>
      <w:numPr>
        <w:numId w:val="2"/>
      </w:numPr>
      <w:tabs>
        <w:tab w:val="left" w:pos="284"/>
        <w:tab w:val="left" w:pos="641"/>
      </w:tabs>
      <w:spacing w:before="60" w:after="60"/>
      <w:ind w:left="641" w:hanging="357"/>
    </w:pPr>
  </w:style>
  <w:style w:type="paragraph" w:customStyle="1" w:styleId="Einzug">
    <w:name w:val="Einzug"/>
    <w:basedOn w:val="Standard"/>
    <w:uiPriority w:val="99"/>
    <w:rsid w:val="00AA01EB"/>
    <w:pPr>
      <w:tabs>
        <w:tab w:val="left" w:pos="641"/>
      </w:tabs>
      <w:spacing w:before="60" w:after="60"/>
      <w:ind w:left="641"/>
    </w:pPr>
  </w:style>
  <w:style w:type="paragraph" w:customStyle="1" w:styleId="L1-Punkt">
    <w:name w:val="L1-Punkt"/>
    <w:basedOn w:val="Standard"/>
    <w:link w:val="L1-PunktZchn"/>
    <w:uiPriority w:val="99"/>
    <w:rsid w:val="00AA01EB"/>
    <w:pPr>
      <w:numPr>
        <w:numId w:val="3"/>
      </w:numPr>
      <w:tabs>
        <w:tab w:val="left" w:pos="641"/>
      </w:tabs>
      <w:spacing w:before="60" w:after="60"/>
      <w:ind w:left="641" w:hanging="357"/>
    </w:pPr>
  </w:style>
  <w:style w:type="character" w:customStyle="1" w:styleId="L1-PunktZchn">
    <w:name w:val="L1-Punkt Zchn"/>
    <w:basedOn w:val="Absatz-Standardschriftart"/>
    <w:link w:val="L1-Punkt"/>
    <w:uiPriority w:val="99"/>
    <w:locked/>
    <w:rsid w:val="00AA01EB"/>
    <w:rPr>
      <w:rFonts w:ascii="Arial" w:hAnsi="Arial" w:cs="Arial"/>
      <w:sz w:val="20"/>
      <w:szCs w:val="20"/>
    </w:rPr>
  </w:style>
  <w:style w:type="paragraph" w:customStyle="1" w:styleId="L1-Punkt-Ende">
    <w:name w:val="L1-Punkt-Ende"/>
    <w:basedOn w:val="L1-Punkt"/>
    <w:uiPriority w:val="99"/>
    <w:rsid w:val="00AA01EB"/>
    <w:pPr>
      <w:spacing w:after="120"/>
    </w:pPr>
  </w:style>
  <w:style w:type="paragraph" w:customStyle="1" w:styleId="L2-Punkt">
    <w:name w:val="L2-Punkt"/>
    <w:basedOn w:val="L1-Punkt"/>
    <w:uiPriority w:val="99"/>
    <w:rsid w:val="007A02E6"/>
    <w:pPr>
      <w:numPr>
        <w:numId w:val="4"/>
      </w:numPr>
      <w:tabs>
        <w:tab w:val="left" w:pos="924"/>
      </w:tabs>
      <w:ind w:left="998"/>
      <w:jc w:val="both"/>
    </w:pPr>
  </w:style>
  <w:style w:type="paragraph" w:customStyle="1" w:styleId="L2-Punkt-Ende">
    <w:name w:val="L2-Punkt-Ende"/>
    <w:basedOn w:val="L2-Punkt"/>
    <w:uiPriority w:val="99"/>
    <w:rsid w:val="007A02E6"/>
    <w:pPr>
      <w:spacing w:after="120"/>
    </w:pPr>
  </w:style>
  <w:style w:type="paragraph" w:customStyle="1" w:styleId="Textkrpereinzug2">
    <w:name w:val="Textkörpereinzug2"/>
    <w:basedOn w:val="Textkrpereinzug"/>
    <w:uiPriority w:val="99"/>
    <w:rsid w:val="007A02E6"/>
    <w:pPr>
      <w:numPr>
        <w:ilvl w:val="1"/>
        <w:numId w:val="5"/>
      </w:numPr>
    </w:pPr>
  </w:style>
  <w:style w:type="character" w:customStyle="1" w:styleId="ZchnZchn3">
    <w:name w:val="Zchn Zchn3"/>
    <w:basedOn w:val="Absatz-Standardschriftart"/>
    <w:uiPriority w:val="99"/>
    <w:rsid w:val="00FF6BB8"/>
    <w:rPr>
      <w:rFonts w:ascii="Arial" w:hAnsi="Arial" w:cs="Times New Roman"/>
      <w:b/>
      <w:i/>
      <w:sz w:val="20"/>
      <w:szCs w:val="20"/>
      <w:lang w:val="x-none" w:eastAsia="de-DE"/>
    </w:rPr>
  </w:style>
  <w:style w:type="character" w:customStyle="1" w:styleId="ZchnZchn1">
    <w:name w:val="Zchn Zchn1"/>
    <w:basedOn w:val="Absatz-Standardschriftart"/>
    <w:uiPriority w:val="99"/>
    <w:rsid w:val="00FF6BB8"/>
    <w:rPr>
      <w:rFonts w:ascii="Arial" w:hAnsi="Arial" w:cs="Times New Roman"/>
      <w:sz w:val="24"/>
    </w:rPr>
  </w:style>
  <w:style w:type="character" w:customStyle="1" w:styleId="ZchnZchn4">
    <w:name w:val="Zchn Zchn4"/>
    <w:basedOn w:val="Absatz-Standardschriftart"/>
    <w:uiPriority w:val="99"/>
    <w:rsid w:val="00FF6BB8"/>
    <w:rPr>
      <w:rFonts w:ascii="Arial" w:hAnsi="Arial" w:cs="Times New Roman"/>
      <w:b/>
      <w:kern w:val="28"/>
      <w:sz w:val="20"/>
      <w:szCs w:val="20"/>
      <w:lang w:val="x-none" w:eastAsia="de-DE"/>
    </w:rPr>
  </w:style>
  <w:style w:type="table" w:styleId="Tabellenraster">
    <w:name w:val="Table Grid"/>
    <w:basedOn w:val="NormaleTabelle"/>
    <w:uiPriority w:val="99"/>
    <w:rsid w:val="00840C7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E82E35"/>
    <w:rPr>
      <w:rFonts w:cs="Times New Roman"/>
      <w:sz w:val="16"/>
      <w:szCs w:val="16"/>
    </w:rPr>
  </w:style>
  <w:style w:type="paragraph" w:styleId="Kommentartext">
    <w:name w:val="annotation text"/>
    <w:basedOn w:val="Standard"/>
    <w:link w:val="KommentartextZchn"/>
    <w:uiPriority w:val="99"/>
    <w:semiHidden/>
    <w:rsid w:val="00E82E35"/>
  </w:style>
  <w:style w:type="character" w:customStyle="1" w:styleId="KommentartextZchn">
    <w:name w:val="Kommentartext Zchn"/>
    <w:basedOn w:val="Absatz-Standardschriftart"/>
    <w:link w:val="Kommentartext"/>
    <w:uiPriority w:val="99"/>
    <w:semiHidden/>
    <w:locked/>
    <w:rPr>
      <w:rFonts w:cs="Times New Roman"/>
    </w:rPr>
  </w:style>
  <w:style w:type="paragraph" w:styleId="Kommentarthema">
    <w:name w:val="annotation subject"/>
    <w:basedOn w:val="Kommentartext"/>
    <w:next w:val="Kommentartext"/>
    <w:link w:val="KommentarthemaZchn"/>
    <w:uiPriority w:val="99"/>
    <w:semiHidden/>
    <w:rsid w:val="00E82E35"/>
    <w:rPr>
      <w:b/>
      <w:bCs/>
    </w:rPr>
  </w:style>
  <w:style w:type="character" w:customStyle="1" w:styleId="KommentarthemaZchn">
    <w:name w:val="Kommentarthema Zchn"/>
    <w:basedOn w:val="KommentartextZchn"/>
    <w:link w:val="Kommentarthema"/>
    <w:uiPriority w:val="99"/>
    <w:semiHidden/>
    <w:locked/>
    <w:rPr>
      <w:rFonts w:cs="Times New Roman"/>
      <w:b/>
      <w:bCs/>
    </w:rPr>
  </w:style>
  <w:style w:type="paragraph" w:styleId="Funotentext">
    <w:name w:val="footnote text"/>
    <w:basedOn w:val="Standard"/>
    <w:link w:val="FunotentextZchn"/>
    <w:uiPriority w:val="99"/>
    <w:rsid w:val="00BA1761"/>
    <w:pPr>
      <w:ind w:left="284" w:hanging="284"/>
    </w:pPr>
  </w:style>
  <w:style w:type="character" w:customStyle="1" w:styleId="FunotentextZchn">
    <w:name w:val="Fußnotentext Zchn"/>
    <w:basedOn w:val="Absatz-Standardschriftart"/>
    <w:link w:val="Funotentext"/>
    <w:uiPriority w:val="99"/>
    <w:locked/>
    <w:rsid w:val="00BA1761"/>
    <w:rPr>
      <w:rFonts w:ascii="Arial" w:hAnsi="Arial" w:cs="Arial"/>
      <w:sz w:val="20"/>
      <w:szCs w:val="20"/>
    </w:rPr>
  </w:style>
  <w:style w:type="character" w:styleId="Funotenzeichen">
    <w:name w:val="footnote reference"/>
    <w:basedOn w:val="Absatz-Standardschriftart"/>
    <w:uiPriority w:val="99"/>
    <w:rsid w:val="0032022E"/>
    <w:rPr>
      <w:rFonts w:cs="Times New Roman"/>
      <w:vertAlign w:val="superscript"/>
    </w:rPr>
  </w:style>
  <w:style w:type="paragraph" w:styleId="Listenabsatz">
    <w:name w:val="List Paragraph"/>
    <w:basedOn w:val="Standard"/>
    <w:uiPriority w:val="34"/>
    <w:qFormat/>
    <w:rsid w:val="0094369B"/>
    <w:pPr>
      <w:ind w:left="720"/>
      <w:contextualSpacing/>
    </w:pPr>
  </w:style>
  <w:style w:type="character" w:styleId="Hyperlink">
    <w:name w:val="Hyperlink"/>
    <w:basedOn w:val="Absatz-Standardschriftart"/>
    <w:uiPriority w:val="99"/>
    <w:unhideWhenUsed/>
    <w:rsid w:val="00062D8A"/>
    <w:rPr>
      <w:color w:val="0000FF" w:themeColor="hyperlink"/>
      <w:u w:val="single"/>
    </w:rPr>
  </w:style>
  <w:style w:type="paragraph" w:styleId="berarbeitung">
    <w:name w:val="Revision"/>
    <w:hidden/>
    <w:uiPriority w:val="99"/>
    <w:semiHidden/>
    <w:rsid w:val="001E6EDB"/>
    <w:pPr>
      <w:spacing w:after="0" w:line="240" w:lineRule="auto"/>
    </w:pPr>
    <w:rPr>
      <w:rFonts w:ascii="Arial" w:hAnsi="Arial" w:cs="Arial"/>
      <w:sz w:val="20"/>
      <w:szCs w:val="20"/>
    </w:rPr>
  </w:style>
  <w:style w:type="character" w:customStyle="1" w:styleId="NichtaufgelsteErwhnung1">
    <w:name w:val="Nicht aufgelöste Erwähnung1"/>
    <w:basedOn w:val="Absatz-Standardschriftart"/>
    <w:uiPriority w:val="99"/>
    <w:semiHidden/>
    <w:unhideWhenUsed/>
    <w:rsid w:val="002F5D39"/>
    <w:rPr>
      <w:color w:val="605E5C"/>
      <w:shd w:val="clear" w:color="auto" w:fill="E1DFDD"/>
    </w:rPr>
  </w:style>
  <w:style w:type="character" w:styleId="Platzhaltertext">
    <w:name w:val="Placeholder Text"/>
    <w:basedOn w:val="Absatz-Standardschriftart"/>
    <w:uiPriority w:val="99"/>
    <w:semiHidden/>
    <w:rsid w:val="009A4914"/>
    <w:rPr>
      <w:color w:val="808080"/>
    </w:rPr>
  </w:style>
  <w:style w:type="paragraph" w:styleId="Beschriftung">
    <w:name w:val="caption"/>
    <w:basedOn w:val="Standard"/>
    <w:next w:val="Standard"/>
    <w:unhideWhenUsed/>
    <w:qFormat/>
    <w:locked/>
    <w:rsid w:val="009A491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5832">
      <w:bodyDiv w:val="1"/>
      <w:marLeft w:val="0"/>
      <w:marRight w:val="0"/>
      <w:marTop w:val="0"/>
      <w:marBottom w:val="0"/>
      <w:divBdr>
        <w:top w:val="none" w:sz="0" w:space="0" w:color="auto"/>
        <w:left w:val="none" w:sz="0" w:space="0" w:color="auto"/>
        <w:bottom w:val="none" w:sz="0" w:space="0" w:color="auto"/>
        <w:right w:val="none" w:sz="0" w:space="0" w:color="auto"/>
      </w:divBdr>
    </w:div>
    <w:div w:id="393043934">
      <w:bodyDiv w:val="1"/>
      <w:marLeft w:val="0"/>
      <w:marRight w:val="0"/>
      <w:marTop w:val="0"/>
      <w:marBottom w:val="0"/>
      <w:divBdr>
        <w:top w:val="none" w:sz="0" w:space="0" w:color="auto"/>
        <w:left w:val="none" w:sz="0" w:space="0" w:color="auto"/>
        <w:bottom w:val="none" w:sz="0" w:space="0" w:color="auto"/>
        <w:right w:val="none" w:sz="0" w:space="0" w:color="auto"/>
      </w:divBdr>
      <w:divsChild>
        <w:div w:id="630131947">
          <w:marLeft w:val="0"/>
          <w:marRight w:val="0"/>
          <w:marTop w:val="0"/>
          <w:marBottom w:val="0"/>
          <w:divBdr>
            <w:top w:val="none" w:sz="0" w:space="0" w:color="auto"/>
            <w:left w:val="none" w:sz="0" w:space="0" w:color="auto"/>
            <w:bottom w:val="none" w:sz="0" w:space="0" w:color="auto"/>
            <w:right w:val="none" w:sz="0" w:space="0" w:color="auto"/>
          </w:divBdr>
          <w:divsChild>
            <w:div w:id="1269241385">
              <w:marLeft w:val="0"/>
              <w:marRight w:val="0"/>
              <w:marTop w:val="0"/>
              <w:marBottom w:val="0"/>
              <w:divBdr>
                <w:top w:val="none" w:sz="0" w:space="0" w:color="auto"/>
                <w:left w:val="none" w:sz="0" w:space="0" w:color="auto"/>
                <w:bottom w:val="none" w:sz="0" w:space="0" w:color="auto"/>
                <w:right w:val="none" w:sz="0" w:space="0" w:color="auto"/>
              </w:divBdr>
              <w:divsChild>
                <w:div w:id="904027141">
                  <w:marLeft w:val="0"/>
                  <w:marRight w:val="0"/>
                  <w:marTop w:val="0"/>
                  <w:marBottom w:val="0"/>
                  <w:divBdr>
                    <w:top w:val="none" w:sz="0" w:space="0" w:color="auto"/>
                    <w:left w:val="none" w:sz="0" w:space="0" w:color="auto"/>
                    <w:bottom w:val="none" w:sz="0" w:space="0" w:color="auto"/>
                    <w:right w:val="none" w:sz="0" w:space="0" w:color="auto"/>
                  </w:divBdr>
                  <w:divsChild>
                    <w:div w:id="64113477">
                      <w:marLeft w:val="0"/>
                      <w:marRight w:val="0"/>
                      <w:marTop w:val="0"/>
                      <w:marBottom w:val="0"/>
                      <w:divBdr>
                        <w:top w:val="none" w:sz="0" w:space="0" w:color="auto"/>
                        <w:left w:val="none" w:sz="0" w:space="0" w:color="auto"/>
                        <w:bottom w:val="none" w:sz="0" w:space="0" w:color="auto"/>
                        <w:right w:val="none" w:sz="0" w:space="0" w:color="auto"/>
                      </w:divBdr>
                      <w:divsChild>
                        <w:div w:id="1347639172">
                          <w:marLeft w:val="0"/>
                          <w:marRight w:val="0"/>
                          <w:marTop w:val="0"/>
                          <w:marBottom w:val="0"/>
                          <w:divBdr>
                            <w:top w:val="none" w:sz="0" w:space="0" w:color="auto"/>
                            <w:left w:val="none" w:sz="0" w:space="0" w:color="auto"/>
                            <w:bottom w:val="none" w:sz="0" w:space="0" w:color="auto"/>
                            <w:right w:val="none" w:sz="0" w:space="0" w:color="auto"/>
                          </w:divBdr>
                          <w:divsChild>
                            <w:div w:id="872038533">
                              <w:marLeft w:val="0"/>
                              <w:marRight w:val="0"/>
                              <w:marTop w:val="0"/>
                              <w:marBottom w:val="0"/>
                              <w:divBdr>
                                <w:top w:val="none" w:sz="0" w:space="0" w:color="auto"/>
                                <w:left w:val="none" w:sz="0" w:space="0" w:color="auto"/>
                                <w:bottom w:val="none" w:sz="0" w:space="0" w:color="auto"/>
                                <w:right w:val="none" w:sz="0" w:space="0" w:color="auto"/>
                              </w:divBdr>
                              <w:divsChild>
                                <w:div w:id="688721081">
                                  <w:marLeft w:val="0"/>
                                  <w:marRight w:val="0"/>
                                  <w:marTop w:val="0"/>
                                  <w:marBottom w:val="0"/>
                                  <w:divBdr>
                                    <w:top w:val="none" w:sz="0" w:space="0" w:color="auto"/>
                                    <w:left w:val="none" w:sz="0" w:space="0" w:color="auto"/>
                                    <w:bottom w:val="none" w:sz="0" w:space="0" w:color="auto"/>
                                    <w:right w:val="none" w:sz="0" w:space="0" w:color="auto"/>
                                  </w:divBdr>
                                  <w:divsChild>
                                    <w:div w:id="1899512964">
                                      <w:marLeft w:val="0"/>
                                      <w:marRight w:val="0"/>
                                      <w:marTop w:val="0"/>
                                      <w:marBottom w:val="0"/>
                                      <w:divBdr>
                                        <w:top w:val="none" w:sz="0" w:space="0" w:color="auto"/>
                                        <w:left w:val="none" w:sz="0" w:space="0" w:color="auto"/>
                                        <w:bottom w:val="none" w:sz="0" w:space="0" w:color="auto"/>
                                        <w:right w:val="none" w:sz="0" w:space="0" w:color="auto"/>
                                      </w:divBdr>
                                      <w:divsChild>
                                        <w:div w:id="518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230655">
      <w:bodyDiv w:val="1"/>
      <w:marLeft w:val="0"/>
      <w:marRight w:val="0"/>
      <w:marTop w:val="0"/>
      <w:marBottom w:val="0"/>
      <w:divBdr>
        <w:top w:val="none" w:sz="0" w:space="0" w:color="auto"/>
        <w:left w:val="none" w:sz="0" w:space="0" w:color="auto"/>
        <w:bottom w:val="none" w:sz="0" w:space="0" w:color="auto"/>
        <w:right w:val="none" w:sz="0" w:space="0" w:color="auto"/>
      </w:divBdr>
    </w:div>
    <w:div w:id="953826104">
      <w:bodyDiv w:val="1"/>
      <w:marLeft w:val="0"/>
      <w:marRight w:val="0"/>
      <w:marTop w:val="0"/>
      <w:marBottom w:val="0"/>
      <w:divBdr>
        <w:top w:val="none" w:sz="0" w:space="0" w:color="auto"/>
        <w:left w:val="none" w:sz="0" w:space="0" w:color="auto"/>
        <w:bottom w:val="none" w:sz="0" w:space="0" w:color="auto"/>
        <w:right w:val="none" w:sz="0" w:space="0" w:color="auto"/>
      </w:divBdr>
      <w:divsChild>
        <w:div w:id="603079916">
          <w:marLeft w:val="0"/>
          <w:marRight w:val="0"/>
          <w:marTop w:val="0"/>
          <w:marBottom w:val="0"/>
          <w:divBdr>
            <w:top w:val="none" w:sz="0" w:space="0" w:color="auto"/>
            <w:left w:val="none" w:sz="0" w:space="0" w:color="auto"/>
            <w:bottom w:val="none" w:sz="0" w:space="0" w:color="auto"/>
            <w:right w:val="none" w:sz="0" w:space="0" w:color="auto"/>
          </w:divBdr>
          <w:divsChild>
            <w:div w:id="273828560">
              <w:marLeft w:val="0"/>
              <w:marRight w:val="0"/>
              <w:marTop w:val="0"/>
              <w:marBottom w:val="0"/>
              <w:divBdr>
                <w:top w:val="none" w:sz="0" w:space="0" w:color="auto"/>
                <w:left w:val="none" w:sz="0" w:space="0" w:color="auto"/>
                <w:bottom w:val="none" w:sz="0" w:space="0" w:color="auto"/>
                <w:right w:val="none" w:sz="0" w:space="0" w:color="auto"/>
              </w:divBdr>
              <w:divsChild>
                <w:div w:id="600724519">
                  <w:marLeft w:val="0"/>
                  <w:marRight w:val="0"/>
                  <w:marTop w:val="0"/>
                  <w:marBottom w:val="0"/>
                  <w:divBdr>
                    <w:top w:val="none" w:sz="0" w:space="0" w:color="auto"/>
                    <w:left w:val="none" w:sz="0" w:space="0" w:color="auto"/>
                    <w:bottom w:val="none" w:sz="0" w:space="0" w:color="auto"/>
                    <w:right w:val="none" w:sz="0" w:space="0" w:color="auto"/>
                  </w:divBdr>
                  <w:divsChild>
                    <w:div w:id="207687989">
                      <w:marLeft w:val="0"/>
                      <w:marRight w:val="0"/>
                      <w:marTop w:val="0"/>
                      <w:marBottom w:val="0"/>
                      <w:divBdr>
                        <w:top w:val="none" w:sz="0" w:space="0" w:color="auto"/>
                        <w:left w:val="none" w:sz="0" w:space="0" w:color="auto"/>
                        <w:bottom w:val="none" w:sz="0" w:space="0" w:color="auto"/>
                        <w:right w:val="none" w:sz="0" w:space="0" w:color="auto"/>
                      </w:divBdr>
                      <w:divsChild>
                        <w:div w:id="435950263">
                          <w:marLeft w:val="0"/>
                          <w:marRight w:val="0"/>
                          <w:marTop w:val="0"/>
                          <w:marBottom w:val="0"/>
                          <w:divBdr>
                            <w:top w:val="none" w:sz="0" w:space="0" w:color="auto"/>
                            <w:left w:val="none" w:sz="0" w:space="0" w:color="auto"/>
                            <w:bottom w:val="none" w:sz="0" w:space="0" w:color="auto"/>
                            <w:right w:val="none" w:sz="0" w:space="0" w:color="auto"/>
                          </w:divBdr>
                          <w:divsChild>
                            <w:div w:id="309941435">
                              <w:marLeft w:val="0"/>
                              <w:marRight w:val="0"/>
                              <w:marTop w:val="0"/>
                              <w:marBottom w:val="0"/>
                              <w:divBdr>
                                <w:top w:val="none" w:sz="0" w:space="0" w:color="auto"/>
                                <w:left w:val="none" w:sz="0" w:space="0" w:color="auto"/>
                                <w:bottom w:val="none" w:sz="0" w:space="0" w:color="auto"/>
                                <w:right w:val="none" w:sz="0" w:space="0" w:color="auto"/>
                              </w:divBdr>
                              <w:divsChild>
                                <w:div w:id="1020938482">
                                  <w:marLeft w:val="0"/>
                                  <w:marRight w:val="0"/>
                                  <w:marTop w:val="0"/>
                                  <w:marBottom w:val="0"/>
                                  <w:divBdr>
                                    <w:top w:val="none" w:sz="0" w:space="0" w:color="auto"/>
                                    <w:left w:val="none" w:sz="0" w:space="0" w:color="auto"/>
                                    <w:bottom w:val="none" w:sz="0" w:space="0" w:color="auto"/>
                                    <w:right w:val="none" w:sz="0" w:space="0" w:color="auto"/>
                                  </w:divBdr>
                                  <w:divsChild>
                                    <w:div w:id="1886871096">
                                      <w:marLeft w:val="0"/>
                                      <w:marRight w:val="0"/>
                                      <w:marTop w:val="0"/>
                                      <w:marBottom w:val="0"/>
                                      <w:divBdr>
                                        <w:top w:val="none" w:sz="0" w:space="0" w:color="auto"/>
                                        <w:left w:val="none" w:sz="0" w:space="0" w:color="auto"/>
                                        <w:bottom w:val="none" w:sz="0" w:space="0" w:color="auto"/>
                                        <w:right w:val="none" w:sz="0" w:space="0" w:color="auto"/>
                                      </w:divBdr>
                                      <w:divsChild>
                                        <w:div w:id="9653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432543">
      <w:bodyDiv w:val="1"/>
      <w:marLeft w:val="0"/>
      <w:marRight w:val="0"/>
      <w:marTop w:val="0"/>
      <w:marBottom w:val="0"/>
      <w:divBdr>
        <w:top w:val="none" w:sz="0" w:space="0" w:color="auto"/>
        <w:left w:val="none" w:sz="0" w:space="0" w:color="auto"/>
        <w:bottom w:val="none" w:sz="0" w:space="0" w:color="auto"/>
        <w:right w:val="none" w:sz="0" w:space="0" w:color="auto"/>
      </w:divBdr>
    </w:div>
    <w:div w:id="1247350015">
      <w:bodyDiv w:val="1"/>
      <w:marLeft w:val="0"/>
      <w:marRight w:val="0"/>
      <w:marTop w:val="0"/>
      <w:marBottom w:val="0"/>
      <w:divBdr>
        <w:top w:val="none" w:sz="0" w:space="0" w:color="auto"/>
        <w:left w:val="none" w:sz="0" w:space="0" w:color="auto"/>
        <w:bottom w:val="none" w:sz="0" w:space="0" w:color="auto"/>
        <w:right w:val="none" w:sz="0" w:space="0" w:color="auto"/>
      </w:divBdr>
      <w:divsChild>
        <w:div w:id="1627470180">
          <w:marLeft w:val="0"/>
          <w:marRight w:val="0"/>
          <w:marTop w:val="0"/>
          <w:marBottom w:val="0"/>
          <w:divBdr>
            <w:top w:val="none" w:sz="0" w:space="0" w:color="auto"/>
            <w:left w:val="none" w:sz="0" w:space="0" w:color="auto"/>
            <w:bottom w:val="none" w:sz="0" w:space="0" w:color="auto"/>
            <w:right w:val="none" w:sz="0" w:space="0" w:color="auto"/>
          </w:divBdr>
          <w:divsChild>
            <w:div w:id="876308453">
              <w:marLeft w:val="0"/>
              <w:marRight w:val="0"/>
              <w:marTop w:val="0"/>
              <w:marBottom w:val="0"/>
              <w:divBdr>
                <w:top w:val="none" w:sz="0" w:space="0" w:color="auto"/>
                <w:left w:val="none" w:sz="0" w:space="0" w:color="auto"/>
                <w:bottom w:val="none" w:sz="0" w:space="0" w:color="auto"/>
                <w:right w:val="none" w:sz="0" w:space="0" w:color="auto"/>
              </w:divBdr>
              <w:divsChild>
                <w:div w:id="1826891029">
                  <w:marLeft w:val="0"/>
                  <w:marRight w:val="0"/>
                  <w:marTop w:val="0"/>
                  <w:marBottom w:val="0"/>
                  <w:divBdr>
                    <w:top w:val="none" w:sz="0" w:space="0" w:color="auto"/>
                    <w:left w:val="none" w:sz="0" w:space="0" w:color="auto"/>
                    <w:bottom w:val="none" w:sz="0" w:space="0" w:color="auto"/>
                    <w:right w:val="none" w:sz="0" w:space="0" w:color="auto"/>
                  </w:divBdr>
                  <w:divsChild>
                    <w:div w:id="1969313334">
                      <w:marLeft w:val="0"/>
                      <w:marRight w:val="0"/>
                      <w:marTop w:val="0"/>
                      <w:marBottom w:val="0"/>
                      <w:divBdr>
                        <w:top w:val="none" w:sz="0" w:space="0" w:color="auto"/>
                        <w:left w:val="none" w:sz="0" w:space="0" w:color="auto"/>
                        <w:bottom w:val="none" w:sz="0" w:space="0" w:color="auto"/>
                        <w:right w:val="none" w:sz="0" w:space="0" w:color="auto"/>
                      </w:divBdr>
                      <w:divsChild>
                        <w:div w:id="371462502">
                          <w:marLeft w:val="0"/>
                          <w:marRight w:val="0"/>
                          <w:marTop w:val="0"/>
                          <w:marBottom w:val="0"/>
                          <w:divBdr>
                            <w:top w:val="none" w:sz="0" w:space="0" w:color="auto"/>
                            <w:left w:val="none" w:sz="0" w:space="0" w:color="auto"/>
                            <w:bottom w:val="none" w:sz="0" w:space="0" w:color="auto"/>
                            <w:right w:val="none" w:sz="0" w:space="0" w:color="auto"/>
                          </w:divBdr>
                          <w:divsChild>
                            <w:div w:id="1399355945">
                              <w:marLeft w:val="0"/>
                              <w:marRight w:val="0"/>
                              <w:marTop w:val="0"/>
                              <w:marBottom w:val="0"/>
                              <w:divBdr>
                                <w:top w:val="none" w:sz="0" w:space="0" w:color="auto"/>
                                <w:left w:val="none" w:sz="0" w:space="0" w:color="auto"/>
                                <w:bottom w:val="none" w:sz="0" w:space="0" w:color="auto"/>
                                <w:right w:val="none" w:sz="0" w:space="0" w:color="auto"/>
                              </w:divBdr>
                              <w:divsChild>
                                <w:div w:id="116218475">
                                  <w:marLeft w:val="0"/>
                                  <w:marRight w:val="0"/>
                                  <w:marTop w:val="0"/>
                                  <w:marBottom w:val="0"/>
                                  <w:divBdr>
                                    <w:top w:val="none" w:sz="0" w:space="0" w:color="auto"/>
                                    <w:left w:val="none" w:sz="0" w:space="0" w:color="auto"/>
                                    <w:bottom w:val="none" w:sz="0" w:space="0" w:color="auto"/>
                                    <w:right w:val="none" w:sz="0" w:space="0" w:color="auto"/>
                                  </w:divBdr>
                                  <w:divsChild>
                                    <w:div w:id="595485363">
                                      <w:marLeft w:val="0"/>
                                      <w:marRight w:val="0"/>
                                      <w:marTop w:val="0"/>
                                      <w:marBottom w:val="0"/>
                                      <w:divBdr>
                                        <w:top w:val="none" w:sz="0" w:space="0" w:color="auto"/>
                                        <w:left w:val="none" w:sz="0" w:space="0" w:color="auto"/>
                                        <w:bottom w:val="none" w:sz="0" w:space="0" w:color="auto"/>
                                        <w:right w:val="none" w:sz="0" w:space="0" w:color="auto"/>
                                      </w:divBdr>
                                      <w:divsChild>
                                        <w:div w:id="13795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558446">
      <w:bodyDiv w:val="1"/>
      <w:marLeft w:val="0"/>
      <w:marRight w:val="0"/>
      <w:marTop w:val="0"/>
      <w:marBottom w:val="0"/>
      <w:divBdr>
        <w:top w:val="none" w:sz="0" w:space="0" w:color="auto"/>
        <w:left w:val="none" w:sz="0" w:space="0" w:color="auto"/>
        <w:bottom w:val="none" w:sz="0" w:space="0" w:color="auto"/>
        <w:right w:val="none" w:sz="0" w:space="0" w:color="auto"/>
      </w:divBdr>
      <w:divsChild>
        <w:div w:id="1906640205">
          <w:marLeft w:val="0"/>
          <w:marRight w:val="0"/>
          <w:marTop w:val="0"/>
          <w:marBottom w:val="0"/>
          <w:divBdr>
            <w:top w:val="none" w:sz="0" w:space="0" w:color="auto"/>
            <w:left w:val="none" w:sz="0" w:space="0" w:color="auto"/>
            <w:bottom w:val="none" w:sz="0" w:space="0" w:color="auto"/>
            <w:right w:val="none" w:sz="0" w:space="0" w:color="auto"/>
          </w:divBdr>
        </w:div>
      </w:divsChild>
    </w:div>
    <w:div w:id="1589265845">
      <w:bodyDiv w:val="1"/>
      <w:marLeft w:val="0"/>
      <w:marRight w:val="0"/>
      <w:marTop w:val="0"/>
      <w:marBottom w:val="0"/>
      <w:divBdr>
        <w:top w:val="none" w:sz="0" w:space="0" w:color="auto"/>
        <w:left w:val="none" w:sz="0" w:space="0" w:color="auto"/>
        <w:bottom w:val="none" w:sz="0" w:space="0" w:color="auto"/>
        <w:right w:val="none" w:sz="0" w:space="0" w:color="auto"/>
      </w:divBdr>
    </w:div>
    <w:div w:id="1898855936">
      <w:bodyDiv w:val="1"/>
      <w:marLeft w:val="0"/>
      <w:marRight w:val="0"/>
      <w:marTop w:val="0"/>
      <w:marBottom w:val="0"/>
      <w:divBdr>
        <w:top w:val="none" w:sz="0" w:space="0" w:color="auto"/>
        <w:left w:val="none" w:sz="0" w:space="0" w:color="auto"/>
        <w:bottom w:val="none" w:sz="0" w:space="0" w:color="auto"/>
        <w:right w:val="none" w:sz="0" w:space="0" w:color="auto"/>
      </w:divBdr>
    </w:div>
    <w:div w:id="2064056655">
      <w:marLeft w:val="0"/>
      <w:marRight w:val="0"/>
      <w:marTop w:val="0"/>
      <w:marBottom w:val="0"/>
      <w:divBdr>
        <w:top w:val="none" w:sz="0" w:space="0" w:color="auto"/>
        <w:left w:val="none" w:sz="0" w:space="0" w:color="auto"/>
        <w:bottom w:val="none" w:sz="0" w:space="0" w:color="auto"/>
        <w:right w:val="none" w:sz="0" w:space="0" w:color="auto"/>
      </w:divBdr>
    </w:div>
    <w:div w:id="2064056656">
      <w:marLeft w:val="0"/>
      <w:marRight w:val="0"/>
      <w:marTop w:val="0"/>
      <w:marBottom w:val="0"/>
      <w:divBdr>
        <w:top w:val="none" w:sz="0" w:space="0" w:color="auto"/>
        <w:left w:val="none" w:sz="0" w:space="0" w:color="auto"/>
        <w:bottom w:val="none" w:sz="0" w:space="0" w:color="auto"/>
        <w:right w:val="none" w:sz="0" w:space="0" w:color="auto"/>
      </w:divBdr>
    </w:div>
    <w:div w:id="2064056657">
      <w:marLeft w:val="0"/>
      <w:marRight w:val="0"/>
      <w:marTop w:val="0"/>
      <w:marBottom w:val="0"/>
      <w:divBdr>
        <w:top w:val="none" w:sz="0" w:space="0" w:color="auto"/>
        <w:left w:val="none" w:sz="0" w:space="0" w:color="auto"/>
        <w:bottom w:val="none" w:sz="0" w:space="0" w:color="auto"/>
        <w:right w:val="none" w:sz="0" w:space="0" w:color="auto"/>
      </w:divBdr>
    </w:div>
    <w:div w:id="2064056658">
      <w:marLeft w:val="0"/>
      <w:marRight w:val="0"/>
      <w:marTop w:val="0"/>
      <w:marBottom w:val="0"/>
      <w:divBdr>
        <w:top w:val="none" w:sz="0" w:space="0" w:color="auto"/>
        <w:left w:val="none" w:sz="0" w:space="0" w:color="auto"/>
        <w:bottom w:val="none" w:sz="0" w:space="0" w:color="auto"/>
        <w:right w:val="none" w:sz="0" w:space="0" w:color="auto"/>
      </w:divBdr>
    </w:div>
    <w:div w:id="2064056659">
      <w:marLeft w:val="0"/>
      <w:marRight w:val="0"/>
      <w:marTop w:val="0"/>
      <w:marBottom w:val="0"/>
      <w:divBdr>
        <w:top w:val="none" w:sz="0" w:space="0" w:color="auto"/>
        <w:left w:val="none" w:sz="0" w:space="0" w:color="auto"/>
        <w:bottom w:val="none" w:sz="0" w:space="0" w:color="auto"/>
        <w:right w:val="none" w:sz="0" w:space="0" w:color="auto"/>
      </w:divBdr>
    </w:div>
    <w:div w:id="2064056660">
      <w:marLeft w:val="0"/>
      <w:marRight w:val="0"/>
      <w:marTop w:val="0"/>
      <w:marBottom w:val="0"/>
      <w:divBdr>
        <w:top w:val="none" w:sz="0" w:space="0" w:color="auto"/>
        <w:left w:val="none" w:sz="0" w:space="0" w:color="auto"/>
        <w:bottom w:val="none" w:sz="0" w:space="0" w:color="auto"/>
        <w:right w:val="none" w:sz="0" w:space="0" w:color="auto"/>
      </w:divBdr>
    </w:div>
    <w:div w:id="2064056661">
      <w:marLeft w:val="0"/>
      <w:marRight w:val="0"/>
      <w:marTop w:val="0"/>
      <w:marBottom w:val="0"/>
      <w:divBdr>
        <w:top w:val="none" w:sz="0" w:space="0" w:color="auto"/>
        <w:left w:val="none" w:sz="0" w:space="0" w:color="auto"/>
        <w:bottom w:val="none" w:sz="0" w:space="0" w:color="auto"/>
        <w:right w:val="none" w:sz="0" w:space="0" w:color="auto"/>
      </w:divBdr>
    </w:div>
    <w:div w:id="2064056662">
      <w:marLeft w:val="0"/>
      <w:marRight w:val="0"/>
      <w:marTop w:val="0"/>
      <w:marBottom w:val="0"/>
      <w:divBdr>
        <w:top w:val="none" w:sz="0" w:space="0" w:color="auto"/>
        <w:left w:val="none" w:sz="0" w:space="0" w:color="auto"/>
        <w:bottom w:val="none" w:sz="0" w:space="0" w:color="auto"/>
        <w:right w:val="none" w:sz="0" w:space="0" w:color="auto"/>
      </w:divBdr>
    </w:div>
    <w:div w:id="2064056663">
      <w:marLeft w:val="0"/>
      <w:marRight w:val="0"/>
      <w:marTop w:val="0"/>
      <w:marBottom w:val="0"/>
      <w:divBdr>
        <w:top w:val="none" w:sz="0" w:space="0" w:color="auto"/>
        <w:left w:val="none" w:sz="0" w:space="0" w:color="auto"/>
        <w:bottom w:val="none" w:sz="0" w:space="0" w:color="auto"/>
        <w:right w:val="none" w:sz="0" w:space="0" w:color="auto"/>
      </w:divBdr>
    </w:div>
    <w:div w:id="2064056664">
      <w:marLeft w:val="0"/>
      <w:marRight w:val="0"/>
      <w:marTop w:val="0"/>
      <w:marBottom w:val="0"/>
      <w:divBdr>
        <w:top w:val="none" w:sz="0" w:space="0" w:color="auto"/>
        <w:left w:val="none" w:sz="0" w:space="0" w:color="auto"/>
        <w:bottom w:val="none" w:sz="0" w:space="0" w:color="auto"/>
        <w:right w:val="none" w:sz="0" w:space="0" w:color="auto"/>
      </w:divBdr>
    </w:div>
    <w:div w:id="2064056665">
      <w:marLeft w:val="0"/>
      <w:marRight w:val="0"/>
      <w:marTop w:val="0"/>
      <w:marBottom w:val="0"/>
      <w:divBdr>
        <w:top w:val="none" w:sz="0" w:space="0" w:color="auto"/>
        <w:left w:val="none" w:sz="0" w:space="0" w:color="auto"/>
        <w:bottom w:val="none" w:sz="0" w:space="0" w:color="auto"/>
        <w:right w:val="none" w:sz="0" w:space="0" w:color="auto"/>
      </w:divBdr>
    </w:div>
    <w:div w:id="2064056666">
      <w:marLeft w:val="0"/>
      <w:marRight w:val="0"/>
      <w:marTop w:val="0"/>
      <w:marBottom w:val="0"/>
      <w:divBdr>
        <w:top w:val="none" w:sz="0" w:space="0" w:color="auto"/>
        <w:left w:val="none" w:sz="0" w:space="0" w:color="auto"/>
        <w:bottom w:val="none" w:sz="0" w:space="0" w:color="auto"/>
        <w:right w:val="none" w:sz="0" w:space="0" w:color="auto"/>
      </w:divBdr>
    </w:div>
    <w:div w:id="2064056667">
      <w:marLeft w:val="0"/>
      <w:marRight w:val="0"/>
      <w:marTop w:val="0"/>
      <w:marBottom w:val="0"/>
      <w:divBdr>
        <w:top w:val="none" w:sz="0" w:space="0" w:color="auto"/>
        <w:left w:val="none" w:sz="0" w:space="0" w:color="auto"/>
        <w:bottom w:val="none" w:sz="0" w:space="0" w:color="auto"/>
        <w:right w:val="none" w:sz="0" w:space="0" w:color="auto"/>
      </w:divBdr>
    </w:div>
    <w:div w:id="2064056668">
      <w:marLeft w:val="0"/>
      <w:marRight w:val="0"/>
      <w:marTop w:val="0"/>
      <w:marBottom w:val="0"/>
      <w:divBdr>
        <w:top w:val="none" w:sz="0" w:space="0" w:color="auto"/>
        <w:left w:val="none" w:sz="0" w:space="0" w:color="auto"/>
        <w:bottom w:val="none" w:sz="0" w:space="0" w:color="auto"/>
        <w:right w:val="none" w:sz="0" w:space="0" w:color="auto"/>
      </w:divBdr>
    </w:div>
    <w:div w:id="2064056669">
      <w:marLeft w:val="0"/>
      <w:marRight w:val="0"/>
      <w:marTop w:val="0"/>
      <w:marBottom w:val="0"/>
      <w:divBdr>
        <w:top w:val="none" w:sz="0" w:space="0" w:color="auto"/>
        <w:left w:val="none" w:sz="0" w:space="0" w:color="auto"/>
        <w:bottom w:val="none" w:sz="0" w:space="0" w:color="auto"/>
        <w:right w:val="none" w:sz="0" w:space="0" w:color="auto"/>
      </w:divBdr>
    </w:div>
    <w:div w:id="2064056670">
      <w:marLeft w:val="0"/>
      <w:marRight w:val="0"/>
      <w:marTop w:val="0"/>
      <w:marBottom w:val="0"/>
      <w:divBdr>
        <w:top w:val="none" w:sz="0" w:space="0" w:color="auto"/>
        <w:left w:val="none" w:sz="0" w:space="0" w:color="auto"/>
        <w:bottom w:val="none" w:sz="0" w:space="0" w:color="auto"/>
        <w:right w:val="none" w:sz="0" w:space="0" w:color="auto"/>
      </w:divBdr>
    </w:div>
    <w:div w:id="2064056671">
      <w:marLeft w:val="0"/>
      <w:marRight w:val="0"/>
      <w:marTop w:val="0"/>
      <w:marBottom w:val="0"/>
      <w:divBdr>
        <w:top w:val="none" w:sz="0" w:space="0" w:color="auto"/>
        <w:left w:val="none" w:sz="0" w:space="0" w:color="auto"/>
        <w:bottom w:val="none" w:sz="0" w:space="0" w:color="auto"/>
        <w:right w:val="none" w:sz="0" w:space="0" w:color="auto"/>
      </w:divBdr>
    </w:div>
    <w:div w:id="2064056672">
      <w:marLeft w:val="0"/>
      <w:marRight w:val="0"/>
      <w:marTop w:val="0"/>
      <w:marBottom w:val="0"/>
      <w:divBdr>
        <w:top w:val="none" w:sz="0" w:space="0" w:color="auto"/>
        <w:left w:val="none" w:sz="0" w:space="0" w:color="auto"/>
        <w:bottom w:val="none" w:sz="0" w:space="0" w:color="auto"/>
        <w:right w:val="none" w:sz="0" w:space="0" w:color="auto"/>
      </w:divBdr>
    </w:div>
    <w:div w:id="2064056673">
      <w:marLeft w:val="0"/>
      <w:marRight w:val="0"/>
      <w:marTop w:val="0"/>
      <w:marBottom w:val="0"/>
      <w:divBdr>
        <w:top w:val="none" w:sz="0" w:space="0" w:color="auto"/>
        <w:left w:val="none" w:sz="0" w:space="0" w:color="auto"/>
        <w:bottom w:val="none" w:sz="0" w:space="0" w:color="auto"/>
        <w:right w:val="none" w:sz="0" w:space="0" w:color="auto"/>
      </w:divBdr>
    </w:div>
    <w:div w:id="2064056674">
      <w:marLeft w:val="0"/>
      <w:marRight w:val="0"/>
      <w:marTop w:val="0"/>
      <w:marBottom w:val="0"/>
      <w:divBdr>
        <w:top w:val="none" w:sz="0" w:space="0" w:color="auto"/>
        <w:left w:val="none" w:sz="0" w:space="0" w:color="auto"/>
        <w:bottom w:val="none" w:sz="0" w:space="0" w:color="auto"/>
        <w:right w:val="none" w:sz="0" w:space="0" w:color="auto"/>
      </w:divBdr>
    </w:div>
    <w:div w:id="2064056675">
      <w:marLeft w:val="0"/>
      <w:marRight w:val="0"/>
      <w:marTop w:val="0"/>
      <w:marBottom w:val="0"/>
      <w:divBdr>
        <w:top w:val="none" w:sz="0" w:space="0" w:color="auto"/>
        <w:left w:val="none" w:sz="0" w:space="0" w:color="auto"/>
        <w:bottom w:val="none" w:sz="0" w:space="0" w:color="auto"/>
        <w:right w:val="none" w:sz="0" w:space="0" w:color="auto"/>
      </w:divBdr>
    </w:div>
    <w:div w:id="2064056676">
      <w:marLeft w:val="0"/>
      <w:marRight w:val="0"/>
      <w:marTop w:val="0"/>
      <w:marBottom w:val="0"/>
      <w:divBdr>
        <w:top w:val="none" w:sz="0" w:space="0" w:color="auto"/>
        <w:left w:val="none" w:sz="0" w:space="0" w:color="auto"/>
        <w:bottom w:val="none" w:sz="0" w:space="0" w:color="auto"/>
        <w:right w:val="none" w:sz="0" w:space="0" w:color="auto"/>
      </w:divBdr>
    </w:div>
    <w:div w:id="2064056677">
      <w:marLeft w:val="0"/>
      <w:marRight w:val="0"/>
      <w:marTop w:val="0"/>
      <w:marBottom w:val="0"/>
      <w:divBdr>
        <w:top w:val="none" w:sz="0" w:space="0" w:color="auto"/>
        <w:left w:val="none" w:sz="0" w:space="0" w:color="auto"/>
        <w:bottom w:val="none" w:sz="0" w:space="0" w:color="auto"/>
        <w:right w:val="none" w:sz="0" w:space="0" w:color="auto"/>
      </w:divBdr>
    </w:div>
    <w:div w:id="2064056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C64C4-9589-48FE-8A9B-388C0C28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1475</Words>
  <Characters>9294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Teil B</vt:lpstr>
    </vt:vector>
  </TitlesOfParts>
  <Company>nn</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MLB_GBestVerm_Teil_B</dc:title>
  <dc:creator>Landesamt GeoInformation Bremen</dc:creator>
  <cp:lastModifiedBy>Uwe Lindemann</cp:lastModifiedBy>
  <cp:revision>6</cp:revision>
  <cp:lastPrinted>2021-03-23T05:40:00Z</cp:lastPrinted>
  <dcterms:created xsi:type="dcterms:W3CDTF">2022-01-12T09:51:00Z</dcterms:created>
  <dcterms:modified xsi:type="dcterms:W3CDTF">2022-03-31T06:09:00Z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-986720018</vt:i4>
  </property>
</Properties>
</file>